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430C9" w14:textId="77777777" w:rsidR="001C7C9E" w:rsidRDefault="001C7C9E" w:rsidP="001C7C9E">
      <w:pPr>
        <w:spacing w:after="0" w:line="240" w:lineRule="auto"/>
        <w:rPr>
          <w:rFonts w:ascii="Times New Roman" w:hAnsi="Times New Roman" w:cs="Times New Roman"/>
          <w:b/>
          <w:bCs/>
          <w:sz w:val="28"/>
          <w:szCs w:val="28"/>
        </w:rPr>
      </w:pPr>
    </w:p>
    <w:p w14:paraId="57C001AA" w14:textId="77777777" w:rsidR="00C53CB5" w:rsidRDefault="00C53CB5" w:rsidP="00EE706C">
      <w:pPr>
        <w:spacing w:after="0" w:line="360" w:lineRule="auto"/>
        <w:jc w:val="center"/>
        <w:rPr>
          <w:rFonts w:ascii="Times New Roman" w:eastAsia="Times New Roman" w:hAnsi="Times New Roman" w:cs="Times New Roman"/>
          <w:b/>
          <w:bCs/>
          <w:kern w:val="0"/>
          <w:sz w:val="36"/>
          <w:szCs w:val="36"/>
          <w14:ligatures w14:val="none"/>
        </w:rPr>
      </w:pPr>
    </w:p>
    <w:p w14:paraId="0EDCA3E0" w14:textId="77777777" w:rsidR="00C53CB5" w:rsidRDefault="00C53CB5" w:rsidP="00EE706C">
      <w:pPr>
        <w:spacing w:after="0" w:line="360" w:lineRule="auto"/>
        <w:jc w:val="center"/>
        <w:rPr>
          <w:rFonts w:ascii="Times New Roman" w:eastAsia="Times New Roman" w:hAnsi="Times New Roman" w:cs="Times New Roman"/>
          <w:b/>
          <w:bCs/>
          <w:kern w:val="0"/>
          <w:sz w:val="36"/>
          <w:szCs w:val="36"/>
          <w14:ligatures w14:val="none"/>
        </w:rPr>
      </w:pPr>
    </w:p>
    <w:p w14:paraId="08C0882D" w14:textId="77777777" w:rsidR="00C53CB5" w:rsidRDefault="00C53CB5" w:rsidP="00EE706C">
      <w:pPr>
        <w:spacing w:after="0" w:line="360" w:lineRule="auto"/>
        <w:jc w:val="center"/>
        <w:rPr>
          <w:rFonts w:ascii="Times New Roman" w:eastAsia="Times New Roman" w:hAnsi="Times New Roman" w:cs="Times New Roman"/>
          <w:b/>
          <w:bCs/>
          <w:kern w:val="0"/>
          <w:sz w:val="36"/>
          <w:szCs w:val="36"/>
          <w14:ligatures w14:val="none"/>
        </w:rPr>
      </w:pPr>
    </w:p>
    <w:p w14:paraId="68628758" w14:textId="4AEE9618" w:rsidR="00EE706C" w:rsidRPr="00EE706C" w:rsidRDefault="00EE706C" w:rsidP="00EE706C">
      <w:pPr>
        <w:spacing w:after="0" w:line="360" w:lineRule="auto"/>
        <w:jc w:val="center"/>
        <w:rPr>
          <w:rFonts w:ascii="Times New Roman" w:eastAsia="Times New Roman" w:hAnsi="Times New Roman" w:cs="Times New Roman"/>
          <w:b/>
          <w:bCs/>
          <w:kern w:val="0"/>
          <w:sz w:val="36"/>
          <w:szCs w:val="36"/>
          <w14:ligatures w14:val="none"/>
        </w:rPr>
      </w:pPr>
      <w:r w:rsidRPr="00EE706C">
        <w:rPr>
          <w:rFonts w:ascii="Times New Roman" w:eastAsia="Times New Roman" w:hAnsi="Times New Roman" w:cs="Times New Roman"/>
          <w:b/>
          <w:bCs/>
          <w:kern w:val="0"/>
          <w:sz w:val="36"/>
          <w:szCs w:val="36"/>
          <w14:ligatures w14:val="none"/>
        </w:rPr>
        <w:t xml:space="preserve">PHỤ LỤC </w:t>
      </w:r>
      <w:r w:rsidR="005C0E61">
        <w:rPr>
          <w:rFonts w:ascii="Times New Roman" w:eastAsia="Times New Roman" w:hAnsi="Times New Roman" w:cs="Times New Roman"/>
          <w:b/>
          <w:bCs/>
          <w:kern w:val="0"/>
          <w:sz w:val="36"/>
          <w:szCs w:val="36"/>
          <w14:ligatures w14:val="none"/>
        </w:rPr>
        <w:t>4</w:t>
      </w:r>
      <w:r w:rsidRPr="00EE706C">
        <w:rPr>
          <w:rFonts w:ascii="Times New Roman" w:eastAsia="Times New Roman" w:hAnsi="Times New Roman" w:cs="Times New Roman"/>
          <w:b/>
          <w:bCs/>
          <w:kern w:val="0"/>
          <w:sz w:val="36"/>
          <w:szCs w:val="36"/>
          <w14:ligatures w14:val="none"/>
        </w:rPr>
        <w:t xml:space="preserve">: BẢNG BÁO CÁO </w:t>
      </w:r>
      <w:r>
        <w:rPr>
          <w:rFonts w:ascii="Times New Roman" w:eastAsia="Times New Roman" w:hAnsi="Times New Roman" w:cs="Times New Roman"/>
          <w:b/>
          <w:bCs/>
          <w:kern w:val="0"/>
          <w:sz w:val="36"/>
          <w:szCs w:val="36"/>
          <w14:ligatures w14:val="none"/>
        </w:rPr>
        <w:t>CHI TIẾT</w:t>
      </w:r>
      <w:r w:rsidRPr="00EE706C">
        <w:rPr>
          <w:rFonts w:ascii="Times New Roman" w:eastAsia="Times New Roman" w:hAnsi="Times New Roman" w:cs="Times New Roman"/>
          <w:b/>
          <w:bCs/>
          <w:kern w:val="0"/>
          <w:sz w:val="36"/>
          <w:szCs w:val="36"/>
          <w14:ligatures w14:val="none"/>
        </w:rPr>
        <w:t xml:space="preserve"> </w:t>
      </w:r>
    </w:p>
    <w:p w14:paraId="5A7DEEA0" w14:textId="77777777" w:rsidR="00EE706C" w:rsidRDefault="00EE706C" w:rsidP="00EE706C">
      <w:pPr>
        <w:spacing w:after="0" w:line="360" w:lineRule="auto"/>
        <w:jc w:val="center"/>
        <w:rPr>
          <w:rFonts w:ascii="Times New Roman" w:eastAsia="Times New Roman" w:hAnsi="Times New Roman" w:cs="Times New Roman"/>
          <w:b/>
          <w:bCs/>
          <w:kern w:val="0"/>
          <w:sz w:val="30"/>
          <w:szCs w:val="30"/>
          <w14:ligatures w14:val="none"/>
        </w:rPr>
      </w:pPr>
      <w:r w:rsidRPr="00EE706C">
        <w:rPr>
          <w:rFonts w:ascii="Times New Roman" w:eastAsia="Times New Roman" w:hAnsi="Times New Roman" w:cs="Times New Roman"/>
          <w:b/>
          <w:bCs/>
          <w:kern w:val="0"/>
          <w:sz w:val="30"/>
          <w:szCs w:val="30"/>
          <w14:ligatures w14:val="none"/>
        </w:rPr>
        <w:t xml:space="preserve">TIẾP THU, GIẢI TRÌNH Ý KIẾN CỦA ĐẠI BIỂU QUỐC HỘI THẢO LUẬN TẠI </w:t>
      </w:r>
      <w:r>
        <w:rPr>
          <w:rFonts w:ascii="Times New Roman" w:eastAsia="Times New Roman" w:hAnsi="Times New Roman" w:cs="Times New Roman"/>
          <w:b/>
          <w:bCs/>
          <w:kern w:val="0"/>
          <w:sz w:val="30"/>
          <w:szCs w:val="30"/>
          <w14:ligatures w14:val="none"/>
        </w:rPr>
        <w:t>HỘI TRƯỜNG</w:t>
      </w:r>
      <w:r w:rsidRPr="00EE706C">
        <w:rPr>
          <w:rFonts w:ascii="Times New Roman" w:eastAsia="Times New Roman" w:hAnsi="Times New Roman" w:cs="Times New Roman"/>
          <w:b/>
          <w:bCs/>
          <w:kern w:val="0"/>
          <w:sz w:val="30"/>
          <w:szCs w:val="30"/>
          <w14:ligatures w14:val="none"/>
        </w:rPr>
        <w:t xml:space="preserve"> </w:t>
      </w:r>
    </w:p>
    <w:p w14:paraId="26EF2D29" w14:textId="0008513A" w:rsidR="00EE706C" w:rsidRPr="00EE706C" w:rsidRDefault="00EE706C" w:rsidP="00EE706C">
      <w:pPr>
        <w:spacing w:after="0" w:line="360" w:lineRule="auto"/>
        <w:jc w:val="center"/>
        <w:rPr>
          <w:rFonts w:ascii="Times New Roman" w:eastAsia="Times New Roman" w:hAnsi="Times New Roman" w:cs="Times New Roman"/>
          <w:b/>
          <w:bCs/>
          <w:kern w:val="0"/>
          <w:sz w:val="30"/>
          <w:szCs w:val="30"/>
          <w14:ligatures w14:val="none"/>
        </w:rPr>
      </w:pPr>
      <w:r w:rsidRPr="00EE706C">
        <w:rPr>
          <w:rFonts w:ascii="Times New Roman" w:eastAsia="Times New Roman" w:hAnsi="Times New Roman" w:cs="Times New Roman"/>
          <w:b/>
          <w:bCs/>
          <w:kern w:val="0"/>
          <w:sz w:val="30"/>
          <w:szCs w:val="30"/>
          <w14:ligatures w14:val="none"/>
        </w:rPr>
        <w:t xml:space="preserve">NGÀY </w:t>
      </w:r>
      <w:r>
        <w:rPr>
          <w:rFonts w:ascii="Times New Roman" w:eastAsia="Times New Roman" w:hAnsi="Times New Roman" w:cs="Times New Roman"/>
          <w:b/>
          <w:bCs/>
          <w:kern w:val="0"/>
          <w:sz w:val="30"/>
          <w:szCs w:val="30"/>
          <w14:ligatures w14:val="none"/>
        </w:rPr>
        <w:t>27</w:t>
      </w:r>
      <w:r w:rsidRPr="00EE706C">
        <w:rPr>
          <w:rFonts w:ascii="Times New Roman" w:eastAsia="Times New Roman" w:hAnsi="Times New Roman" w:cs="Times New Roman"/>
          <w:b/>
          <w:bCs/>
          <w:kern w:val="0"/>
          <w:sz w:val="30"/>
          <w:szCs w:val="30"/>
          <w14:ligatures w14:val="none"/>
        </w:rPr>
        <w:t>/11/2025 ĐỐI VỚI DỰ ÁN LUẬT TRÍ TUỆ NHÂN TẠO</w:t>
      </w:r>
    </w:p>
    <w:p w14:paraId="40A450D7" w14:textId="56EC4517" w:rsidR="00EE706C" w:rsidRPr="00EE706C" w:rsidRDefault="00EE706C" w:rsidP="00EE706C">
      <w:pPr>
        <w:spacing w:after="0" w:line="360" w:lineRule="auto"/>
        <w:jc w:val="center"/>
        <w:rPr>
          <w:rFonts w:ascii="Times New Roman" w:eastAsia="Times New Roman" w:hAnsi="Times New Roman" w:cs="Times New Roman"/>
          <w:i/>
          <w:iCs/>
          <w:kern w:val="0"/>
          <w:sz w:val="30"/>
          <w:szCs w:val="30"/>
          <w14:ligatures w14:val="none"/>
        </w:rPr>
      </w:pPr>
      <w:r w:rsidRPr="00EE706C">
        <w:rPr>
          <w:rFonts w:ascii="Times New Roman" w:eastAsia="Times New Roman" w:hAnsi="Times New Roman" w:cs="Times New Roman"/>
          <w:i/>
          <w:iCs/>
          <w:kern w:val="0"/>
          <w:sz w:val="30"/>
          <w:szCs w:val="30"/>
          <w14:ligatures w14:val="none"/>
        </w:rPr>
        <w:t>(kèm theo Báo cáo s</w:t>
      </w:r>
      <w:r w:rsidR="00C65F4E">
        <w:rPr>
          <w:rFonts w:ascii="Times New Roman" w:eastAsia="Times New Roman" w:hAnsi="Times New Roman" w:cs="Times New Roman"/>
          <w:i/>
          <w:iCs/>
          <w:kern w:val="0"/>
          <w:sz w:val="30"/>
          <w:szCs w:val="30"/>
          <w:lang w:val="vi-VN"/>
          <w14:ligatures w14:val="none"/>
        </w:rPr>
        <w:t xml:space="preserve">ố </w:t>
      </w:r>
      <w:r w:rsidR="00C5025B">
        <w:rPr>
          <w:rFonts w:ascii="Times New Roman" w:eastAsia="Times New Roman" w:hAnsi="Times New Roman" w:cs="Times New Roman"/>
          <w:i/>
          <w:iCs/>
          <w:kern w:val="0"/>
          <w:sz w:val="30"/>
          <w:szCs w:val="30"/>
          <w:lang w:val="vi-VN"/>
          <w14:ligatures w14:val="none"/>
        </w:rPr>
        <w:t xml:space="preserve">     </w:t>
      </w:r>
      <w:r w:rsidRPr="00EE706C">
        <w:rPr>
          <w:rFonts w:ascii="Times New Roman" w:eastAsia="Times New Roman" w:hAnsi="Times New Roman" w:cs="Times New Roman"/>
          <w:i/>
          <w:iCs/>
          <w:kern w:val="0"/>
          <w:sz w:val="30"/>
          <w:szCs w:val="30"/>
          <w14:ligatures w14:val="none"/>
        </w:rPr>
        <w:t xml:space="preserve"> /BC</w:t>
      </w:r>
      <w:r w:rsidR="00030B3E">
        <w:rPr>
          <w:rFonts w:ascii="Times New Roman" w:eastAsia="Times New Roman" w:hAnsi="Times New Roman" w:cs="Times New Roman"/>
          <w:i/>
          <w:iCs/>
          <w:kern w:val="0"/>
          <w:sz w:val="30"/>
          <w:szCs w:val="30"/>
          <w:lang w:val="vi-VN"/>
          <w14:ligatures w14:val="none"/>
        </w:rPr>
        <w:t>-CP</w:t>
      </w:r>
      <w:r w:rsidRPr="00EE706C">
        <w:rPr>
          <w:rFonts w:ascii="Times New Roman" w:eastAsia="Times New Roman" w:hAnsi="Times New Roman" w:cs="Times New Roman"/>
          <w:i/>
          <w:iCs/>
          <w:kern w:val="0"/>
          <w:sz w:val="30"/>
          <w:szCs w:val="30"/>
          <w14:ligatures w14:val="none"/>
        </w:rPr>
        <w:t xml:space="preserve"> ngày </w:t>
      </w:r>
      <w:r w:rsidR="00C5025B">
        <w:rPr>
          <w:rFonts w:ascii="Times New Roman" w:eastAsia="Times New Roman" w:hAnsi="Times New Roman" w:cs="Times New Roman"/>
          <w:i/>
          <w:iCs/>
          <w:kern w:val="0"/>
          <w:sz w:val="30"/>
          <w:szCs w:val="30"/>
          <w:lang w:val="vi-VN"/>
          <w14:ligatures w14:val="none"/>
        </w:rPr>
        <w:t xml:space="preserve">   </w:t>
      </w:r>
      <w:bookmarkStart w:id="0" w:name="_GoBack"/>
      <w:bookmarkEnd w:id="0"/>
      <w:r w:rsidRPr="00EE706C">
        <w:rPr>
          <w:rFonts w:ascii="Times New Roman" w:eastAsia="Times New Roman" w:hAnsi="Times New Roman" w:cs="Times New Roman"/>
          <w:i/>
          <w:iCs/>
          <w:kern w:val="0"/>
          <w:sz w:val="30"/>
          <w:szCs w:val="30"/>
          <w14:ligatures w14:val="none"/>
        </w:rPr>
        <w:t xml:space="preserve">/12/2025 của </w:t>
      </w:r>
      <w:r w:rsidR="00030B3E">
        <w:rPr>
          <w:rFonts w:ascii="Times New Roman" w:eastAsia="Times New Roman" w:hAnsi="Times New Roman" w:cs="Times New Roman"/>
          <w:i/>
          <w:iCs/>
          <w:kern w:val="0"/>
          <w:sz w:val="30"/>
          <w:szCs w:val="30"/>
          <w14:ligatures w14:val="none"/>
        </w:rPr>
        <w:t>Chính</w:t>
      </w:r>
      <w:r w:rsidR="00030B3E">
        <w:rPr>
          <w:rFonts w:ascii="Times New Roman" w:eastAsia="Times New Roman" w:hAnsi="Times New Roman" w:cs="Times New Roman"/>
          <w:i/>
          <w:iCs/>
          <w:kern w:val="0"/>
          <w:sz w:val="30"/>
          <w:szCs w:val="30"/>
          <w:lang w:val="vi-VN"/>
          <w14:ligatures w14:val="none"/>
        </w:rPr>
        <w:t xml:space="preserve"> phủ</w:t>
      </w:r>
      <w:r w:rsidRPr="00EE706C">
        <w:rPr>
          <w:rFonts w:ascii="Times New Roman" w:eastAsia="Times New Roman" w:hAnsi="Times New Roman" w:cs="Times New Roman"/>
          <w:i/>
          <w:iCs/>
          <w:kern w:val="0"/>
          <w:sz w:val="30"/>
          <w:szCs w:val="30"/>
          <w14:ligatures w14:val="none"/>
        </w:rPr>
        <w:t>)</w:t>
      </w:r>
    </w:p>
    <w:p w14:paraId="319D39C6" w14:textId="1F3C2993" w:rsidR="006305E9" w:rsidRPr="001C7C9E" w:rsidRDefault="006305E9" w:rsidP="001C7C9E">
      <w:pPr>
        <w:spacing w:after="0" w:line="240" w:lineRule="auto"/>
        <w:jc w:val="center"/>
        <w:rPr>
          <w:rFonts w:ascii="Times New Roman" w:hAnsi="Times New Roman" w:cs="Times New Roman"/>
          <w:i/>
          <w:iCs/>
          <w:sz w:val="28"/>
          <w:szCs w:val="28"/>
        </w:rPr>
      </w:pPr>
    </w:p>
    <w:p w14:paraId="503097C9" w14:textId="77777777" w:rsidR="00C53CB5" w:rsidRDefault="00C53CB5" w:rsidP="00AA4A03">
      <w:pPr>
        <w:jc w:val="both"/>
        <w:sectPr w:rsidR="00C53CB5" w:rsidSect="00B06C74">
          <w:headerReference w:type="default" r:id="rId6"/>
          <w:headerReference w:type="first" r:id="rId7"/>
          <w:pgSz w:w="16838" w:h="11906" w:orient="landscape" w:code="9"/>
          <w:pgMar w:top="1440" w:right="1440" w:bottom="1440" w:left="1440" w:header="720" w:footer="720" w:gutter="0"/>
          <w:cols w:space="720"/>
          <w:titlePg/>
          <w:docGrid w:linePitch="360"/>
        </w:sectPr>
      </w:pPr>
    </w:p>
    <w:tbl>
      <w:tblPr>
        <w:tblW w:w="14737" w:type="dxa"/>
        <w:tblLayout w:type="fixed"/>
        <w:tblCellMar>
          <w:top w:w="57" w:type="dxa"/>
          <w:bottom w:w="57" w:type="dxa"/>
        </w:tblCellMar>
        <w:tblLook w:val="04A0" w:firstRow="1" w:lastRow="0" w:firstColumn="1" w:lastColumn="0" w:noHBand="0" w:noVBand="1"/>
      </w:tblPr>
      <w:tblGrid>
        <w:gridCol w:w="708"/>
        <w:gridCol w:w="2548"/>
        <w:gridCol w:w="4394"/>
        <w:gridCol w:w="7087"/>
      </w:tblGrid>
      <w:tr w:rsidR="00B30308" w:rsidRPr="00EE706C" w14:paraId="24A67204" w14:textId="77777777" w:rsidTr="00AA4A03">
        <w:trPr>
          <w:trHeight w:val="554"/>
          <w:tblHeader/>
        </w:trPr>
        <w:tc>
          <w:tcPr>
            <w:tcW w:w="708" w:type="dxa"/>
            <w:tcBorders>
              <w:top w:val="single" w:sz="4" w:space="0" w:color="auto"/>
              <w:left w:val="single" w:sz="4" w:space="0" w:color="auto"/>
              <w:bottom w:val="single" w:sz="4" w:space="0" w:color="auto"/>
              <w:right w:val="single" w:sz="4" w:space="0" w:color="auto"/>
            </w:tcBorders>
            <w:hideMark/>
          </w:tcPr>
          <w:p w14:paraId="47EF79F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bookmarkStart w:id="1" w:name="_Hlk215525940"/>
            <w:r w:rsidRPr="00AA4A03">
              <w:rPr>
                <w:rFonts w:ascii="Times New Roman" w:eastAsia="Times New Roman" w:hAnsi="Times New Roman" w:cs="Times New Roman"/>
                <w:b/>
                <w:bCs/>
                <w:color w:val="000000"/>
                <w:kern w:val="0"/>
                <w:sz w:val="26"/>
                <w:szCs w:val="26"/>
                <w:lang w:val="vi-VN"/>
                <w14:ligatures w14:val="none"/>
              </w:rPr>
              <w:lastRenderedPageBreak/>
              <w:t>STT</w:t>
            </w:r>
          </w:p>
        </w:tc>
        <w:tc>
          <w:tcPr>
            <w:tcW w:w="2548" w:type="dxa"/>
            <w:tcBorders>
              <w:top w:val="single" w:sz="4" w:space="0" w:color="auto"/>
              <w:left w:val="nil"/>
              <w:bottom w:val="single" w:sz="4" w:space="0" w:color="auto"/>
              <w:right w:val="single" w:sz="4" w:space="0" w:color="auto"/>
            </w:tcBorders>
            <w:hideMark/>
          </w:tcPr>
          <w:p w14:paraId="4925EA71" w14:textId="77777777" w:rsidR="00B30308" w:rsidRPr="00AA4A03" w:rsidRDefault="00B30308" w:rsidP="00AA4A03">
            <w:pPr>
              <w:spacing w:after="0" w:line="240" w:lineRule="auto"/>
              <w:jc w:val="both"/>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Đại biểu cho ý kiến</w:t>
            </w:r>
          </w:p>
        </w:tc>
        <w:tc>
          <w:tcPr>
            <w:tcW w:w="4394" w:type="dxa"/>
            <w:tcBorders>
              <w:top w:val="single" w:sz="4" w:space="0" w:color="auto"/>
              <w:left w:val="nil"/>
              <w:bottom w:val="single" w:sz="4" w:space="0" w:color="auto"/>
              <w:right w:val="single" w:sz="4" w:space="0" w:color="auto"/>
            </w:tcBorders>
            <w:hideMark/>
          </w:tcPr>
          <w:p w14:paraId="4E9FCD5D" w14:textId="77777777" w:rsidR="00B30308" w:rsidRPr="00AA4A03" w:rsidRDefault="00B30308" w:rsidP="00AA4A03">
            <w:pPr>
              <w:spacing w:after="0" w:line="240" w:lineRule="auto"/>
              <w:jc w:val="both"/>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Nội dung ý kiến</w:t>
            </w:r>
          </w:p>
        </w:tc>
        <w:tc>
          <w:tcPr>
            <w:tcW w:w="7087" w:type="dxa"/>
            <w:tcBorders>
              <w:top w:val="single" w:sz="4" w:space="0" w:color="auto"/>
              <w:left w:val="nil"/>
              <w:bottom w:val="single" w:sz="4" w:space="0" w:color="auto"/>
              <w:right w:val="single" w:sz="4" w:space="0" w:color="auto"/>
            </w:tcBorders>
            <w:hideMark/>
          </w:tcPr>
          <w:p w14:paraId="63963A3B" w14:textId="77777777" w:rsidR="00B30308" w:rsidRPr="00AA4A03" w:rsidRDefault="00B30308" w:rsidP="00AA4A03">
            <w:pPr>
              <w:spacing w:after="120" w:line="271" w:lineRule="auto"/>
              <w:jc w:val="both"/>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Nội dung trả lời tiếp thu, giải trình</w:t>
            </w:r>
          </w:p>
        </w:tc>
      </w:tr>
      <w:tr w:rsidR="00B30308" w:rsidRPr="00EE706C" w14:paraId="1F0E6DA6"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2070D9FF"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w:t>
            </w:r>
          </w:p>
        </w:tc>
        <w:tc>
          <w:tcPr>
            <w:tcW w:w="2548" w:type="dxa"/>
            <w:tcBorders>
              <w:top w:val="nil"/>
              <w:left w:val="nil"/>
              <w:bottom w:val="single" w:sz="4" w:space="0" w:color="auto"/>
              <w:right w:val="single" w:sz="4" w:space="0" w:color="auto"/>
            </w:tcBorders>
            <w:hideMark/>
          </w:tcPr>
          <w:p w14:paraId="2467DD9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Hoàng Minh Hiếu - Nghệ An</w:t>
            </w:r>
          </w:p>
        </w:tc>
        <w:tc>
          <w:tcPr>
            <w:tcW w:w="4394" w:type="dxa"/>
            <w:tcBorders>
              <w:top w:val="nil"/>
              <w:left w:val="nil"/>
              <w:bottom w:val="single" w:sz="4" w:space="0" w:color="auto"/>
              <w:right w:val="single" w:sz="4" w:space="0" w:color="auto"/>
            </w:tcBorders>
            <w:hideMark/>
          </w:tcPr>
          <w:p w14:paraId="0B447E5E" w14:textId="77777777" w:rsidR="00AA4A0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Thống nhất với cách tiếp cận xây dựng dự thảo luật của Chính phủ, đồng thời nhấn mạnh vai trò trọng tâm của cơ chế thử nghiệm có kiểm soát (Sandbox) đối với sự phát triển của AI. Mục đích của cơ chế này là "gỡ bỏ rào cản pháp lý đang cản trở các mô hình AI, cho phép thử nghiệm trong phạm vi giới hạn để lấy dữ liệu chứng minh hiệu quả, từ đó thúc đẩy cải cách những quy định về lâu dài".</w:t>
            </w:r>
          </w:p>
          <w:p w14:paraId="3FAD7892" w14:textId="61D3893B"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cơ quan chủ trì soạn thảo cần nghiên cứu quy định cụ thể hơn về cơ chế thử nghiệm có kiểm soát trong dự thảo luật.</w:t>
            </w:r>
          </w:p>
        </w:tc>
        <w:tc>
          <w:tcPr>
            <w:tcW w:w="7087" w:type="dxa"/>
            <w:tcBorders>
              <w:top w:val="nil"/>
              <w:left w:val="nil"/>
              <w:bottom w:val="single" w:sz="4" w:space="0" w:color="auto"/>
              <w:right w:val="single" w:sz="4" w:space="0" w:color="auto"/>
            </w:tcBorders>
            <w:hideMark/>
          </w:tcPr>
          <w:p w14:paraId="2EDE04BB" w14:textId="77777777" w:rsidR="00AA4A0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dự thảo Luật tiếp tục khẳng định cơ chế thử nghiệm có kiểm soát là công cụ trọng tâm để tháo gỡ rào cản pháp lý, tạo không gian thử nghiệm an toàn cho các mô hình AI mới, đồng thời bảo đảm quản lý rủi ro. Điều 20 được thiết kế theo hướng cho phép miễn, giảm hoặc điều chỉnh tạm thời một số yêu cầu của pháp luật hiện hành trong phạm vi thử nghiệm, giúp doanh nghiệp thu thập dữ liệu thực tế, chứng minh hiệu quả công nghệ và đề xuất cải cách pháp luật lâu dài. Cơ chế này bảo đảm hài hòa giữa đổi mới sáng tạo và an toàn, vừa thúc đẩy phát triển AI, vừa duy trì tính thống nhất và ổn định của hệ thống</w:t>
            </w:r>
            <w:r w:rsidR="00AA4A03"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pháp luật.</w:t>
            </w:r>
          </w:p>
          <w:p w14:paraId="7CF75D24" w14:textId="13CCB23A" w:rsidR="00B30308"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Dự thảo Luật vì vậy đã phản ánh đầy đủ mục tiêu “mở đường – thử nghiệm – hoàn thiện thể chế” mà Đại biểu nêu.</w:t>
            </w:r>
          </w:p>
        </w:tc>
      </w:tr>
      <w:tr w:rsidR="00B30308" w:rsidRPr="00EE706C" w14:paraId="012F63C4" w14:textId="77777777" w:rsidTr="00B06C74">
        <w:trPr>
          <w:trHeight w:val="1541"/>
        </w:trPr>
        <w:tc>
          <w:tcPr>
            <w:tcW w:w="708" w:type="dxa"/>
            <w:tcBorders>
              <w:top w:val="nil"/>
              <w:left w:val="single" w:sz="4" w:space="0" w:color="auto"/>
              <w:bottom w:val="single" w:sz="4" w:space="0" w:color="auto"/>
              <w:right w:val="single" w:sz="4" w:space="0" w:color="auto"/>
            </w:tcBorders>
            <w:hideMark/>
          </w:tcPr>
          <w:p w14:paraId="07912AD6"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2</w:t>
            </w:r>
          </w:p>
        </w:tc>
        <w:tc>
          <w:tcPr>
            <w:tcW w:w="2548" w:type="dxa"/>
            <w:tcBorders>
              <w:top w:val="nil"/>
              <w:left w:val="nil"/>
              <w:bottom w:val="single" w:sz="4" w:space="0" w:color="auto"/>
              <w:right w:val="single" w:sz="4" w:space="0" w:color="auto"/>
            </w:tcBorders>
            <w:hideMark/>
          </w:tcPr>
          <w:p w14:paraId="672509B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Hoàng Minh Hiếu - Nghệ An</w:t>
            </w:r>
          </w:p>
        </w:tc>
        <w:tc>
          <w:tcPr>
            <w:tcW w:w="4394" w:type="dxa"/>
            <w:tcBorders>
              <w:top w:val="nil"/>
              <w:left w:val="nil"/>
              <w:bottom w:val="single" w:sz="4" w:space="0" w:color="auto"/>
              <w:right w:val="single" w:sz="4" w:space="0" w:color="auto"/>
            </w:tcBorders>
            <w:hideMark/>
          </w:tcPr>
          <w:p w14:paraId="416D013C" w14:textId="77777777" w:rsidR="00AA4A0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Nội dung góp ý chính: Quy định miễn trừ nghĩa vụ tuân thủ tại khoản 2 Điều 20 còn hẹp, vì việc miễn trừ chỉ giới hạn trong phạm vi quy định của Luật này, trong khi các hệ thống trí tuệ nhân tạo thường liên quan đến rất nhiều các quy định của pháp luật khác có liên quan. Ví dụ về lĩnh vực nhạy cảm: thử nghiệm AI trong xe tự lái liên quan đến Luật Trật tự an toàn đường bộ và Luật Bảo vệ dữ liệu cá nhân (ví dụ ở Trung Quốc, Nhật Bản </w:t>
            </w:r>
            <w:r w:rsidRPr="00AA4A03">
              <w:rPr>
                <w:rFonts w:ascii="Times New Roman" w:eastAsia="Times New Roman" w:hAnsi="Times New Roman" w:cs="Times New Roman"/>
                <w:color w:val="000000"/>
                <w:kern w:val="0"/>
                <w:sz w:val="26"/>
                <w:szCs w:val="26"/>
                <w:lang w:val="vi-VN"/>
                <w14:ligatures w14:val="none"/>
              </w:rPr>
              <w:lastRenderedPageBreak/>
              <w:t>được miễn trừ quy định làm mờ khuôn mặt để đào tạo thị giác</w:t>
            </w:r>
            <w:r w:rsidR="00AA4A03"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của AI).</w:t>
            </w:r>
          </w:p>
          <w:p w14:paraId="12F19CC0" w14:textId="055FA5EC"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chỉnh lý quy định tại khoản 2 Điều 20 theo hướng xác định rõ tổ chức, cá nhân tham gia thử nghiệm có kiểm soát được miễn hoặc giảm một số nghĩa vụ tuân theo quy định của luật này và các luật khác có liên quan.</w:t>
            </w:r>
          </w:p>
        </w:tc>
        <w:tc>
          <w:tcPr>
            <w:tcW w:w="7087" w:type="dxa"/>
            <w:tcBorders>
              <w:top w:val="nil"/>
              <w:left w:val="nil"/>
              <w:bottom w:val="single" w:sz="4" w:space="0" w:color="auto"/>
              <w:right w:val="single" w:sz="4" w:space="0" w:color="auto"/>
            </w:tcBorders>
            <w:hideMark/>
          </w:tcPr>
          <w:p w14:paraId="76AA6404" w14:textId="77777777" w:rsidR="00AA4A0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Tiếp thu ý kiến của Đại biểu Quốc hội cho rằng phạm vi miễn trừ tại khoản 2 Điều 20 còn hẹp do chỉ giới hạn trong các quy định của Luật này, trong khi thử nghiệm một số mô hình trí tuệ nhân tạo, đặc biệt trong lĩnh vực nhạy cảm như xe tự lái, xử lý dữ liệu hình ảnh, y tế, tài chính… đồng thời chịu sự điều chỉnh của nhiều luật chuyên ngành khác; Ủy ban Thường vụ Quốc hội đã chỉ đạo nghiên cứu, chỉnh lý theo hướng giao thẩm quyền minh thị cho Chính phủ được quyết định miễn, giảm hoặc điều chỉnh tạm thời một số yêu cầu của pháp luật chuyên ngành có liên quan trong phạm vi thử nghiệm</w:t>
            </w:r>
            <w:r w:rsidR="00AA4A03"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có kiểm soát.</w:t>
            </w:r>
          </w:p>
          <w:p w14:paraId="1AAF944E" w14:textId="77777777" w:rsidR="00AA4A0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Việc bổ sung thẩm quyền này chỉ được áp dụng trong phạm vi, điều kiện và thời hạn thử nghiệm, không áp dụng đối với các quy </w:t>
            </w:r>
            <w:r w:rsidRPr="00AA4A03">
              <w:rPr>
                <w:rFonts w:ascii="Times New Roman" w:eastAsia="Times New Roman" w:hAnsi="Times New Roman" w:cs="Times New Roman"/>
                <w:color w:val="000000"/>
                <w:kern w:val="0"/>
                <w:sz w:val="26"/>
                <w:szCs w:val="26"/>
                <w:lang w:val="vi-VN"/>
                <w14:ligatures w14:val="none"/>
              </w:rPr>
              <w:lastRenderedPageBreak/>
              <w:t>định liên quan đến quyền con người, quyền công dân, an ninh quốc gia và các lĩnh vực đặc biệt nghiêm ngặt để bảo đảm giới hạn lập pháp và tính hợp hiến. Quy định mới vừa tạo hành lang pháp lý linh hoạt hỗ trợ đổi mới sáng tạo, bảo đảm việc thử nghiệm công nghệ mới không bị “mắc” bởi xung đột pháp luật, vừa bảo đảm an toàn, kiểm soát rủi ro và không làm suy giảm hiệu lực của luật chuyên ngành.</w:t>
            </w:r>
          </w:p>
          <w:p w14:paraId="5A17363C" w14:textId="48B871A6" w:rsidR="00B30308"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Trên cơ sở đó, khoản 2 Điều 20 đã được chỉnh lý để bảo đảm tính thống nhất của hệ thống pháp luật, phù hợp thẩm quyền của Quốc hội và đáp ứng yêu cầu thực tiễn triển khai thử nghiệm các công nghệ AI thế hệ mới.Sửa</w:t>
            </w:r>
            <w:r w:rsidR="00AA4A03"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lại khoản 2 điều 20Điều 20</w:t>
            </w:r>
            <w:r w:rsidRPr="00AA4A03">
              <w:rPr>
                <w:rFonts w:ascii="Times New Roman" w:eastAsia="Times New Roman" w:hAnsi="Times New Roman" w:cs="Times New Roman"/>
                <w:color w:val="000000"/>
                <w:kern w:val="0"/>
                <w:sz w:val="26"/>
                <w:szCs w:val="26"/>
                <w:lang w:val="vi-VN"/>
                <w14:ligatures w14:val="none"/>
              </w:rPr>
              <w:br/>
              <w:t>“2. Tổ chức, cá nhân tham gia thử nghiệm có kiểm soát được miễn hoặc giảm hoặc điều chỉnh tạm thời một số nghĩa vụ theo Luật này và  một số yêu cầu của pháp luật chuyên ngành theo quy định của Chính phủ. Việc miễn, giảm được thực hiện trong phạm vi, điều kiện và thời hạn thử nghiệm được phê duyệt, trừ các quy định về quyền con người, quyền công dân, an ninh quốc gia và lĩnh vực đặc biệt nghiêm ngặt.”</w:t>
            </w:r>
          </w:p>
        </w:tc>
      </w:tr>
      <w:tr w:rsidR="00B30308" w:rsidRPr="00EE706C" w14:paraId="44CD3F27" w14:textId="77777777" w:rsidTr="00AA4A03">
        <w:trPr>
          <w:trHeight w:val="4032"/>
        </w:trPr>
        <w:tc>
          <w:tcPr>
            <w:tcW w:w="708" w:type="dxa"/>
            <w:tcBorders>
              <w:top w:val="nil"/>
              <w:left w:val="single" w:sz="4" w:space="0" w:color="auto"/>
              <w:bottom w:val="single" w:sz="4" w:space="0" w:color="auto"/>
              <w:right w:val="single" w:sz="4" w:space="0" w:color="auto"/>
            </w:tcBorders>
            <w:hideMark/>
          </w:tcPr>
          <w:p w14:paraId="121301D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3</w:t>
            </w:r>
          </w:p>
        </w:tc>
        <w:tc>
          <w:tcPr>
            <w:tcW w:w="2548" w:type="dxa"/>
            <w:tcBorders>
              <w:top w:val="nil"/>
              <w:left w:val="nil"/>
              <w:bottom w:val="single" w:sz="4" w:space="0" w:color="auto"/>
              <w:right w:val="single" w:sz="4" w:space="0" w:color="auto"/>
            </w:tcBorders>
            <w:hideMark/>
          </w:tcPr>
          <w:p w14:paraId="7E39577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Hoàng Minh Hiếu - Nghệ An</w:t>
            </w:r>
          </w:p>
        </w:tc>
        <w:tc>
          <w:tcPr>
            <w:tcW w:w="4394" w:type="dxa"/>
            <w:tcBorders>
              <w:top w:val="nil"/>
              <w:left w:val="nil"/>
              <w:bottom w:val="single" w:sz="4" w:space="0" w:color="auto"/>
              <w:right w:val="single" w:sz="4" w:space="0" w:color="auto"/>
            </w:tcBorders>
            <w:hideMark/>
          </w:tcPr>
          <w:p w14:paraId="78DD397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Quy định về thẩm quyền tiếp nhận và thẩm định hồ sơ tham gia thử nghiệm có kiểm soát (khoản 5 Điều 20) giao cho cơ quan quản lý nhà nước về trí tuệ nhân tạo chủ trì chỉ phù hợp với những hệ thống AI có mục đích chung (ví dụ: AI tạo sinh, ChatGPT), nhưng "đối với những hệ thống AI chuyên biệt có tính chuyên ngành cao thì chưa phù hợp". Ví dụ trong y tế: sản phẩm hỗ trợ chẩn đoán hình ảnh y tế được phát triển bởi công ty Vinbrain nếu đăng ký thử nghiệm thì cần có sự giám sát và thẩm định của Bộ Y tế.</w:t>
            </w:r>
            <w:r w:rsidRPr="00AA4A03">
              <w:rPr>
                <w:rFonts w:ascii="Times New Roman" w:eastAsia="Times New Roman" w:hAnsi="Times New Roman" w:cs="Times New Roman"/>
                <w:color w:val="000000"/>
                <w:kern w:val="0"/>
                <w:sz w:val="26"/>
                <w:szCs w:val="26"/>
                <w:lang w:val="vi-VN"/>
                <w14:ligatures w14:val="none"/>
              </w:rPr>
              <w:br/>
              <w:t>Đề xuất, kiến nghị: Đề nghị chỉnh lý lại quy định tại khoản 5 theo hướng cơ quan quản lý nhà nước về trí tuệ nhân tạo chủ trì và phối hợp với các cơ quan quản lý nhà nước có liên quan để tổ chức tiếp nhận, thẩm định và xử lý hồ sơ tham gia hoạt động giám sát, thử nghiệm có kiểm soát.</w:t>
            </w:r>
          </w:p>
        </w:tc>
        <w:tc>
          <w:tcPr>
            <w:tcW w:w="7087" w:type="dxa"/>
            <w:tcBorders>
              <w:top w:val="nil"/>
              <w:left w:val="nil"/>
              <w:bottom w:val="single" w:sz="4" w:space="0" w:color="auto"/>
              <w:right w:val="single" w:sz="4" w:space="0" w:color="auto"/>
            </w:tcBorders>
            <w:hideMark/>
          </w:tcPr>
          <w:p w14:paraId="59F2B2E5" w14:textId="65A442E2" w:rsidR="00B30308" w:rsidRPr="00EE706C" w:rsidRDefault="00B30308" w:rsidP="00B06C74">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Ý kiến của Đại biểu Quốc hội là xác đáng vì hoạt động thử nghiệm có kiểm soát đối với hệ thống trí tuệ nhân tạo mang tính chuyên ngành, như y tế, giao thông hay tài chính, đòi hỏi thẩm định chuyên môn sâu và tuân thủ quy định của pháp luật chuyên ngành. Tiếp thu ý kiến này, dự thảo được chỉnh lý theo hướng: cơ quan quản lý nhà nước về trí tuệ nhân tạo chủ trì chung, nhưng việc tiếp nhận, thẩm định hồ sơ và giám sát thử nghiệm được phối hợp chặt chẽ với bộ quản lý ngành; trường hợp hệ thống AI thuộc lĩnh vực chuyên ngành thì bộ quản lý ngành là cơ quan đánh giá chuyên môn chính. Cách thiết kế này bảo đảm tính thống nhất quản lý nhà nước về AI, đồng thời phát huy năng lực chuyên môn của bộ ngành liên quan, phù hợp thực tiễn triển khai thử nghiệm các công nghệ chuyênngành.Tiếp thu</w:t>
            </w:r>
            <w:r w:rsidR="00B06C74"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sửa đổi khoản 5 điều 20Điều</w:t>
            </w:r>
            <w:r w:rsidR="00AA4A03"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20</w:t>
            </w:r>
            <w:r w:rsidRPr="00AA4A03">
              <w:rPr>
                <w:rFonts w:ascii="Times New Roman" w:eastAsia="Times New Roman" w:hAnsi="Times New Roman" w:cs="Times New Roman"/>
                <w:color w:val="000000"/>
                <w:kern w:val="0"/>
                <w:sz w:val="26"/>
                <w:szCs w:val="26"/>
                <w:lang w:val="vi-VN"/>
                <w14:ligatures w14:val="none"/>
              </w:rPr>
              <w:br/>
              <w:t>“5. Cơ quan quản lý nhà nước về trí tuệ nhân tạo chủ trì, phối hợp với cơ quan có liên quan tiếp nhận, thẩm định và xử lý hồ sơ tham gia thử nghiệm có kiểm soát theo quy trình thẩm định và phản hồi nhanh; giám sát quá trình triển khai và quyết định tạm dừng hoặc chấm dứt thử nghiệm khi có rủi ro ảnh hưởng đến an toàn, an ninh hoặc quyền, lợi ích hợp pháp của tổ chức, cá nhân.”</w:t>
            </w:r>
          </w:p>
        </w:tc>
      </w:tr>
      <w:tr w:rsidR="00B30308" w:rsidRPr="00EE706C" w14:paraId="5998FB28"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10FC97C8"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w:t>
            </w:r>
          </w:p>
        </w:tc>
        <w:tc>
          <w:tcPr>
            <w:tcW w:w="2548" w:type="dxa"/>
            <w:tcBorders>
              <w:top w:val="nil"/>
              <w:left w:val="nil"/>
              <w:bottom w:val="single" w:sz="4" w:space="0" w:color="auto"/>
              <w:right w:val="single" w:sz="4" w:space="0" w:color="auto"/>
            </w:tcBorders>
            <w:hideMark/>
          </w:tcPr>
          <w:p w14:paraId="45579A9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Hoàng Minh Hiếu - Nghệ An</w:t>
            </w:r>
          </w:p>
        </w:tc>
        <w:tc>
          <w:tcPr>
            <w:tcW w:w="4394" w:type="dxa"/>
            <w:tcBorders>
              <w:top w:val="nil"/>
              <w:left w:val="nil"/>
              <w:bottom w:val="single" w:sz="4" w:space="0" w:color="auto"/>
              <w:right w:val="single" w:sz="4" w:space="0" w:color="auto"/>
            </w:tcBorders>
            <w:hideMark/>
          </w:tcPr>
          <w:p w14:paraId="2D56C14C"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Dự thảo thiếu các quy định liên quan đến trách nhiệm bồi thường và bảo hiểm nếu thử nghiệm AI gây thiệt hại cho bên thứ ba. Cần có chính sách hỗ trợ Nhà nước để khuyến khích đổi mới sáng tạo; nếu không, các doanh nghiệp phát triển hệ thống AI rủi ro cao (ví dụ như xe tự lái) và đang trong giai đoạn khởi nghiệp sẽ rất ngại thử nghiệm vì "chỉ một tai nạn cũng dẫn đến nguy cơ phá sản".</w:t>
            </w:r>
          </w:p>
          <w:p w14:paraId="4CD35366" w14:textId="613E47D6"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cân nhắc bổ sung quy định về trách nhiệm bồi thường. Đồng thời, cần nghiên cứu bổ sung cơ chế hỗ trợ bảo hiểm trước khi tiến hành thử nghiệm hoặc hỗ trợ một phần ngân sách qua Quỹ Phát triển trí tuệ nhân tạo Quốc gia (Điều 21).</w:t>
            </w:r>
          </w:p>
        </w:tc>
        <w:tc>
          <w:tcPr>
            <w:tcW w:w="7087" w:type="dxa"/>
            <w:tcBorders>
              <w:top w:val="nil"/>
              <w:left w:val="nil"/>
              <w:bottom w:val="single" w:sz="4" w:space="0" w:color="auto"/>
              <w:right w:val="single" w:sz="4" w:space="0" w:color="auto"/>
            </w:tcBorders>
            <w:hideMark/>
          </w:tcPr>
          <w:p w14:paraId="62334C2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dự thảo Luật quy định rõ tại Điều 28 rằng tổ chức, cá nhân tham gia thử nghiệm có kiểm soát vẫn phải bồi thường thiệt hại cho bên thứ ba, trừ các trường hợp được miễn trừ theo luật định như lỗi cố ý của nạn nhân, bất khả kháng hoặc hệ thống bị chiếm quyền điều khiển trái phép. Nhằm giảm rủi ro tài chính cho doanh nghiệp, đặc biệt là doanh nghiệp khởi nghiệp thử nghiệm hệ thống AI rủi ro cao, Điều 13 khoản 5 khuyến khích các chủ thể tham gia bảo hiểm trách nhiệm dân sự hoặc áp dụng biện pháp bảo đảm tài chính phù hợp. Đồng thời, Điều 24 quy định Nhà nước xem xét hỗ trợ doanh nghiệp về kỹ thuật, đánh giá rủi ro, kết nối hạ tầng và một số chi phí cần thiết trong phạm vi thử nghiệm, góp phần giảm gánh nặng tài chính. Cách thiết kế này bảo đảm hài hòa giữa bảo vệ quyền lợi bên thứ ba và tạo điều kiện để doanh nghiệp mạnh dạn tham gia thử nghiệm, thúc đẩy đổi mới sáng tạo trong lĩnh vực AI.</w:t>
            </w:r>
          </w:p>
        </w:tc>
      </w:tr>
      <w:tr w:rsidR="00B30308" w:rsidRPr="00EE706C" w14:paraId="7DCD66F1"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5CE802B9"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5</w:t>
            </w:r>
          </w:p>
        </w:tc>
        <w:tc>
          <w:tcPr>
            <w:tcW w:w="2548" w:type="dxa"/>
            <w:tcBorders>
              <w:top w:val="nil"/>
              <w:left w:val="nil"/>
              <w:bottom w:val="single" w:sz="4" w:space="0" w:color="auto"/>
              <w:right w:val="single" w:sz="4" w:space="0" w:color="auto"/>
            </w:tcBorders>
            <w:hideMark/>
          </w:tcPr>
          <w:p w14:paraId="4BBD613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Hoàng Minh Hiếu - Nghệ An</w:t>
            </w:r>
          </w:p>
        </w:tc>
        <w:tc>
          <w:tcPr>
            <w:tcW w:w="4394" w:type="dxa"/>
            <w:tcBorders>
              <w:top w:val="nil"/>
              <w:left w:val="nil"/>
              <w:bottom w:val="single" w:sz="4" w:space="0" w:color="auto"/>
              <w:right w:val="single" w:sz="4" w:space="0" w:color="auto"/>
            </w:tcBorders>
            <w:hideMark/>
          </w:tcPr>
          <w:p w14:paraId="3B46D43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Quy định tại khoản 2 Điều 34 về nguyên tắc ưu tiên áp dụng Luật AI đang tạo ra xung đột pháp luật với các luật khác cũng quy định về cơ chế thử nghiệm có kiểm soát được ưu tiên áp dụng (ví dụ: Luật Thủ đô). Điều này gây khó khăn khi một doanh nghiệp đăng ký thử nghiệm hệ thống trí tuệ nhân tạo trên địa bàn thủ đô.</w:t>
            </w:r>
            <w:r w:rsidRPr="00AA4A03">
              <w:rPr>
                <w:rFonts w:ascii="Times New Roman" w:eastAsia="Times New Roman" w:hAnsi="Times New Roman" w:cs="Times New Roman"/>
                <w:color w:val="000000"/>
                <w:kern w:val="0"/>
                <w:sz w:val="26"/>
                <w:szCs w:val="26"/>
                <w:lang w:val="vi-VN"/>
                <w14:ligatures w14:val="none"/>
              </w:rPr>
              <w:br/>
              <w:t>Đề xuất, kiến nghị: Đề nghị cần xác định rõ ưu tiên áp dụng trong trường hợp này ngay trong dự thảo luật (theo đúng yêu cầu của khoản 2 Điều 4 Luật Thủ đô) hoặc nghiên cứu bỏ quy định tại khoản 2 Điều 34 của luật này để tránh xung đột pháp luật.</w:t>
            </w:r>
          </w:p>
        </w:tc>
        <w:tc>
          <w:tcPr>
            <w:tcW w:w="7087" w:type="dxa"/>
            <w:tcBorders>
              <w:top w:val="nil"/>
              <w:left w:val="nil"/>
              <w:bottom w:val="single" w:sz="4" w:space="0" w:color="auto"/>
              <w:right w:val="single" w:sz="4" w:space="0" w:color="auto"/>
            </w:tcBorders>
            <w:hideMark/>
          </w:tcPr>
          <w:p w14:paraId="27492BE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Cơ quan soạn thảo đã tiếp thu ý kiến này và tiến hành rà soát để làm rõ phạm vi áp dụng của khoản 2 Điều 34 (Hiệu lực thi hành). Chúng tôi khẳng định rằng: Khoản 2 Điều 34 chỉ thiết lập nguyên tắc áp dụng trong phạm vi điều chỉnh của Luật AI, nhằm bảo đảm thống nhất quản lý đối với các hoạt động thử nghiệm có kiểm soát (sandbox) liên quan trực tiếp đến hệ thống trí tuệ nhân tạo. Quy định này không loại trừ hoặc phủ định các cơ chế thử nghiệm đặc thù được quy định bởi luật chuyên ngành hoặc luật theo địa bàn (như Luật Thủ đô). Luật AI chỉ áp dụng khi nội dung thử nghiệm thuộc phạm vi quản lý rủi ro của Luật AI. Trường hợp một hoạt động thử nghiệm đồng thời thuộc phạm vi của Luật AI và luật chuyên ngành khác, doanh nghiệp sẽ thực hiện theo nguyên tắc phối hợp và phân công thẩm quyền do Chính phủ quy định. Cách thiết kế này bảo đảm giữ được tính thống nhất của hệ thống pháp luật, không cản trở thẩm quyền đặc thù của Thủ đô, đồng thời vẫn bảo đảm kiểm soát và quản lý rủi ro đối với hệ thống trí tuệ nhân tạo.</w:t>
            </w:r>
          </w:p>
        </w:tc>
      </w:tr>
      <w:tr w:rsidR="00B30308" w:rsidRPr="00EE706C" w14:paraId="2066FD16" w14:textId="77777777" w:rsidTr="00B06C74">
        <w:trPr>
          <w:trHeight w:val="1682"/>
        </w:trPr>
        <w:tc>
          <w:tcPr>
            <w:tcW w:w="708" w:type="dxa"/>
            <w:tcBorders>
              <w:top w:val="nil"/>
              <w:left w:val="single" w:sz="4" w:space="0" w:color="auto"/>
              <w:bottom w:val="single" w:sz="4" w:space="0" w:color="auto"/>
              <w:right w:val="single" w:sz="4" w:space="0" w:color="auto"/>
            </w:tcBorders>
            <w:hideMark/>
          </w:tcPr>
          <w:p w14:paraId="4BF337F7"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6</w:t>
            </w:r>
          </w:p>
        </w:tc>
        <w:tc>
          <w:tcPr>
            <w:tcW w:w="2548" w:type="dxa"/>
            <w:tcBorders>
              <w:top w:val="nil"/>
              <w:left w:val="nil"/>
              <w:bottom w:val="single" w:sz="4" w:space="0" w:color="auto"/>
              <w:right w:val="single" w:sz="4" w:space="0" w:color="auto"/>
            </w:tcBorders>
            <w:hideMark/>
          </w:tcPr>
          <w:p w14:paraId="4CB6E7D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Huỳnh Thị Hằng Nga</w:t>
            </w:r>
          </w:p>
        </w:tc>
        <w:tc>
          <w:tcPr>
            <w:tcW w:w="4394" w:type="dxa"/>
            <w:tcBorders>
              <w:top w:val="nil"/>
              <w:left w:val="nil"/>
              <w:bottom w:val="single" w:sz="4" w:space="0" w:color="auto"/>
              <w:right w:val="single" w:sz="4" w:space="0" w:color="auto"/>
            </w:tcBorders>
            <w:hideMark/>
          </w:tcPr>
          <w:p w14:paraId="7832D1E7"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Nhất trí về sự cần thiết ban hành Luật AI để quản lý đạo đức và an toàn, phù hợp với thực tiễn và hội nhập quốc tế. Cơ bản thống nhất với Điều 5 về Chính sách Nhà nước, nhưng nhận định các chính sách này còn mang tính chung, khó triển khai. "Vì vậy, việc ban hành luật là yêu cầu cần thiết, phù hợp với thực tiễn và đáp ứng yêu cầu hội nhập quốc tế".</w:t>
            </w:r>
          </w:p>
          <w:p w14:paraId="1FE99055" w14:textId="682540C6"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Đề xuất, kiến nghị: Đề nghị giao Chính phủ quy định chi tiết các nhóm chính sách tại Điều 5; đồng thời, các văn bản quy định chi tiết cần được ban hành sớm ngay sau khi Luật được thông qua.</w:t>
            </w:r>
          </w:p>
        </w:tc>
        <w:tc>
          <w:tcPr>
            <w:tcW w:w="7087" w:type="dxa"/>
            <w:tcBorders>
              <w:top w:val="nil"/>
              <w:left w:val="nil"/>
              <w:bottom w:val="single" w:sz="4" w:space="0" w:color="auto"/>
              <w:right w:val="single" w:sz="4" w:space="0" w:color="auto"/>
            </w:tcBorders>
            <w:hideMark/>
          </w:tcPr>
          <w:p w14:paraId="5E52C33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Giải trình ý kiến của Đại biểu Quốc hội, dự thảo Luật giữ Điều 5 ở mức chính sách khung nhằm bảo đảm tính ổn định, không ràng buộc cứng các nhiệm vụ cụ thể trong bối cảnh công nghệ trí tuệ nhân tạo thay đổi nhanh. Mặc dù Điều 5 không quy định trực tiếp việc giao Chính phủ hướng dẫn, các chính sách này đã được cụ thể hóa tại các điều tiếp theo của Luật; trong đó nhiều nội dung như an toàn hệ thống (Điều 13), thử nghiệm có kiểm soát (Điều 20), hỗ trợ doanh nghiệp (Điều 24) và quản lý nhà nước (Điều 32) đều đã giao Chính phủ quy định chi tiết và tổ chức thực hiện. Vì vậy, dự thảo đã bảo đảm vừa giữ được tính khái quát của điều chính sách, </w:t>
            </w:r>
            <w:r w:rsidRPr="00AA4A03">
              <w:rPr>
                <w:rFonts w:ascii="Times New Roman" w:eastAsia="Times New Roman" w:hAnsi="Times New Roman" w:cs="Times New Roman"/>
                <w:color w:val="000000"/>
                <w:kern w:val="0"/>
                <w:sz w:val="26"/>
                <w:szCs w:val="26"/>
                <w:lang w:val="vi-VN"/>
                <w14:ligatures w14:val="none"/>
              </w:rPr>
              <w:lastRenderedPageBreak/>
              <w:t>vừa có đầy đủ cơ sở pháp lý để Chính phủ ban hành văn bản hướng dẫn ngay sau khi Luật có hiệu lực, đáp ứng yêu cầu triển khai mà Đại biểu nêu. Cơ quan chủ trì soạn thảo cam kết sẽ trình Chính phủ ban hành các Nghị định và các văn bản quy định chi tiết ngay sau khi Luật được thông qua.</w:t>
            </w:r>
          </w:p>
        </w:tc>
      </w:tr>
      <w:tr w:rsidR="00B30308" w:rsidRPr="00EE706C" w14:paraId="2DD1C765"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2A07EE04"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7</w:t>
            </w:r>
          </w:p>
        </w:tc>
        <w:tc>
          <w:tcPr>
            <w:tcW w:w="2548" w:type="dxa"/>
            <w:tcBorders>
              <w:top w:val="nil"/>
              <w:left w:val="nil"/>
              <w:bottom w:val="single" w:sz="4" w:space="0" w:color="auto"/>
              <w:right w:val="single" w:sz="4" w:space="0" w:color="auto"/>
            </w:tcBorders>
            <w:hideMark/>
          </w:tcPr>
          <w:p w14:paraId="0D42CBB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Huỳnh Thị Hằng Nga</w:t>
            </w:r>
          </w:p>
        </w:tc>
        <w:tc>
          <w:tcPr>
            <w:tcW w:w="4394" w:type="dxa"/>
            <w:tcBorders>
              <w:top w:val="nil"/>
              <w:left w:val="nil"/>
              <w:bottom w:val="single" w:sz="4" w:space="0" w:color="auto"/>
              <w:right w:val="single" w:sz="4" w:space="0" w:color="auto"/>
            </w:tcBorders>
            <w:hideMark/>
          </w:tcPr>
          <w:p w14:paraId="509F3B1F"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xác định rõ lộ trình bố trí ngân sách hỗ trợ xây dựng hạ tầng tính toán, hạ tầng dữ liệu ở các lĩnh vực đột phá. Cần chính sách cụ thể hỗ trợ doanh nghiệp đầu tư vào các lĩnh vực kinh tế - xã hội trọng điểm. Đặc biệt ưu tiên phát triển ứng dụng AI trong những ngành có lợi thế cạnh tranh như nông nghiệp, môi trường, y tế.</w:t>
            </w:r>
          </w:p>
          <w:p w14:paraId="568D4700" w14:textId="7024D8D4"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xác định rõ lộ trình bố trí ngân sách. Cần có chính sách ưu tiên để mua sắm công sử dụng công nghệ AI trong nước.</w:t>
            </w:r>
          </w:p>
        </w:tc>
        <w:tc>
          <w:tcPr>
            <w:tcW w:w="7087" w:type="dxa"/>
            <w:tcBorders>
              <w:top w:val="nil"/>
              <w:left w:val="nil"/>
              <w:bottom w:val="single" w:sz="4" w:space="0" w:color="auto"/>
              <w:right w:val="single" w:sz="4" w:space="0" w:color="auto"/>
            </w:tcBorders>
            <w:hideMark/>
          </w:tcPr>
          <w:p w14:paraId="04E9B4F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dự thảo Luật đã quy định định hướng phát triển hạ tầng dữ liệu, hạ tầng tính toán và ưu tiên ứng dụng AI trong các lĩnh vực trọng điểm tại Điều 5; đồng thời cụ thể hóa cơ chế hỗ trợ doanh nghiệp tại Điều 24, bao gồm hỗ trợ tiếp cận hạ tầng, tư vấn kỹ thuật và đánh giá rủi ro để thúc đẩy đầu tư vào các ngành có lợi thế như nông nghiệp, môi trường, y tế. Việc bố trí ngân sách và xác định lộ trình đầu tư hạ tầng là nhiệm vụ của kế hoạch tài chính – ngân sách hằng năm và trung hạn, do Chính phủ trình Quốc hội quyết định theo Luật Ngân sách nhà nước, nên không ấn định cứng trong Luật mà được triển khai thông qua các chương trình, đề án và văn bản chi tiết sau khi Luật có hiệu lực. Ngoài ra, nguyên tắc ưu tiên sử dụng sản phẩm, dịch vụ AI trong nước đã được quy định tại Điều 5.5 và sẽ được Chính phủ hướng dẫn cụ thể trong chính sách mua sắm công, bảo đảm hỗ trợ thiết thực cho doanh nghiệp và phù hợp khả năng cân đối ngân sách. Cách thiết kế này giữ tính ổn định của Luật nhưng tạo đầy đủ cơ sở pháp lý để thực thi các đề xuất của Đại biểu.</w:t>
            </w:r>
          </w:p>
        </w:tc>
      </w:tr>
      <w:tr w:rsidR="00B30308" w:rsidRPr="00EE706C" w14:paraId="2318CCC6"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63DB43A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8</w:t>
            </w:r>
          </w:p>
        </w:tc>
        <w:tc>
          <w:tcPr>
            <w:tcW w:w="2548" w:type="dxa"/>
            <w:tcBorders>
              <w:top w:val="nil"/>
              <w:left w:val="nil"/>
              <w:bottom w:val="single" w:sz="4" w:space="0" w:color="auto"/>
              <w:right w:val="single" w:sz="4" w:space="0" w:color="auto"/>
            </w:tcBorders>
            <w:hideMark/>
          </w:tcPr>
          <w:p w14:paraId="6DBE84C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Huỳnh Thị Hằng Nga</w:t>
            </w:r>
          </w:p>
        </w:tc>
        <w:tc>
          <w:tcPr>
            <w:tcW w:w="4394" w:type="dxa"/>
            <w:tcBorders>
              <w:top w:val="nil"/>
              <w:left w:val="nil"/>
              <w:bottom w:val="single" w:sz="4" w:space="0" w:color="auto"/>
              <w:right w:val="single" w:sz="4" w:space="0" w:color="auto"/>
            </w:tcBorders>
            <w:hideMark/>
          </w:tcPr>
          <w:p w14:paraId="40F99C5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Nhà nước cần có định hướng, chính sách đột phá phát triển ngành công nghệ AI trọng tâm để có khả năng cạnh tranh. Cần tập trung hướng đến mục tiêu chiến lược quốc gia về AI: đến năm 2030 có 10 thương hiệu AI uy tín, đưa Việt Nam trở thành 4 quốc gia hàng đầu ASEAN và nằm trong tốp 50 quốc gia hàng đầu thế giới.</w:t>
            </w:r>
            <w:r w:rsidRPr="00AA4A03">
              <w:rPr>
                <w:rFonts w:ascii="Times New Roman" w:eastAsia="Times New Roman" w:hAnsi="Times New Roman" w:cs="Times New Roman"/>
                <w:color w:val="000000"/>
                <w:kern w:val="0"/>
                <w:sz w:val="26"/>
                <w:szCs w:val="26"/>
                <w:lang w:val="vi-VN"/>
                <w14:ligatures w14:val="none"/>
              </w:rPr>
              <w:br/>
              <w:t>Đề xuất, kiến nghị: Bổ sung các chính sách đột phá nhằm đạt được các mục tiêu cụ thể, định lượng (10 thương hiệu AI uy tín, Top 4 ASEAN) trong Chiến lược Quốc gia về AI.</w:t>
            </w:r>
          </w:p>
        </w:tc>
        <w:tc>
          <w:tcPr>
            <w:tcW w:w="7087" w:type="dxa"/>
            <w:tcBorders>
              <w:top w:val="nil"/>
              <w:left w:val="nil"/>
              <w:bottom w:val="single" w:sz="4" w:space="0" w:color="auto"/>
              <w:right w:val="single" w:sz="4" w:space="0" w:color="auto"/>
            </w:tcBorders>
            <w:hideMark/>
          </w:tcPr>
          <w:p w14:paraId="42EF96C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Ban soạn thảo đồng tình với yêu cầu định hướng phát triển các ngành, sản phẩm AI trọng tâm để nâng cao năng lực cạnh tranh quốc gia. Tuy nhiên, các mục tiêu định lượng như “10 thương hiệu AI uy tín”, “Top 4 ASEAN” hay “Top 50 thế giới” là nội dung của Chiến lược Quốc gia về AI, thuộc thẩm quyền ban hành của Thủ tướng Chính phủ và được điều chỉnh theo từng giai đoạn phát triển, nên không quy định cứng trong Luật để bảo đảm tính linh hoạt. Dự thảo Luật AI đã tiếp thu tinh thần này tại Điều 5 (chính sách của Nhà nước) và Điều 15, Điều 17 về phát triển hạ tầng và làm chủ mô hình AI, qua đó tạo nền tảng pháp lý để Chính phủ ban hành và thực hiện các chính sách đột phá nhằm đạt các mục tiêu chiến lược nêu trên. Các chính sách cụ thể, bao gồm ưu tiên ngành trọng điểm, hỗ trợ doanh nghiệp và phát triển thương hiệu AI Việt Nam, sẽ được cụ thể hóa trong Chiến lược và các văn bản triển khai.</w:t>
            </w:r>
          </w:p>
        </w:tc>
      </w:tr>
      <w:tr w:rsidR="00B30308" w:rsidRPr="00EE706C" w14:paraId="2C762D20" w14:textId="77777777" w:rsidTr="00B06C74">
        <w:trPr>
          <w:trHeight w:val="690"/>
        </w:trPr>
        <w:tc>
          <w:tcPr>
            <w:tcW w:w="708" w:type="dxa"/>
            <w:tcBorders>
              <w:top w:val="nil"/>
              <w:left w:val="single" w:sz="4" w:space="0" w:color="auto"/>
              <w:bottom w:val="single" w:sz="4" w:space="0" w:color="auto"/>
              <w:right w:val="single" w:sz="4" w:space="0" w:color="auto"/>
            </w:tcBorders>
            <w:hideMark/>
          </w:tcPr>
          <w:p w14:paraId="09749AC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9</w:t>
            </w:r>
          </w:p>
        </w:tc>
        <w:tc>
          <w:tcPr>
            <w:tcW w:w="2548" w:type="dxa"/>
            <w:tcBorders>
              <w:top w:val="nil"/>
              <w:left w:val="nil"/>
              <w:bottom w:val="single" w:sz="4" w:space="0" w:color="auto"/>
              <w:right w:val="single" w:sz="4" w:space="0" w:color="auto"/>
            </w:tcBorders>
            <w:hideMark/>
          </w:tcPr>
          <w:p w14:paraId="5963804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Huỳnh Thị Hằng Nga</w:t>
            </w:r>
          </w:p>
        </w:tc>
        <w:tc>
          <w:tcPr>
            <w:tcW w:w="4394" w:type="dxa"/>
            <w:tcBorders>
              <w:top w:val="nil"/>
              <w:left w:val="nil"/>
              <w:bottom w:val="single" w:sz="4" w:space="0" w:color="auto"/>
              <w:right w:val="single" w:sz="4" w:space="0" w:color="auto"/>
            </w:tcBorders>
            <w:hideMark/>
          </w:tcPr>
          <w:p w14:paraId="593C89B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Các cơ chế tài chính dành cho hoạt động liên quan đến AI từ ngân sách nhà nước phải được quan tâm, bố trí, đảm bảo. Việc định giá công việc, sản phẩm AI để phục vụ cho khâu lập dự toán, quyết toán cần phải được linh hoạt, giảm thủ tục hành chính.</w:t>
            </w:r>
            <w:r w:rsidRPr="00AA4A03">
              <w:rPr>
                <w:rFonts w:ascii="Times New Roman" w:eastAsia="Times New Roman" w:hAnsi="Times New Roman" w:cs="Times New Roman"/>
                <w:color w:val="000000"/>
                <w:kern w:val="0"/>
                <w:sz w:val="26"/>
                <w:szCs w:val="26"/>
                <w:lang w:val="vi-VN"/>
                <w14:ligatures w14:val="none"/>
              </w:rPr>
              <w:br/>
              <w:t xml:space="preserve">Đề xuất, kiến nghị: Đề nghị có cơ chế tài chính phù hợp cho các nhiệm vụ AI; linh hoạt trong định giá, giảm thủ tục hành chính, đặc biệt đối với mô hình nền tảng </w:t>
            </w:r>
            <w:r w:rsidRPr="00AA4A03">
              <w:rPr>
                <w:rFonts w:ascii="Times New Roman" w:eastAsia="Times New Roman" w:hAnsi="Times New Roman" w:cs="Times New Roman"/>
                <w:color w:val="000000"/>
                <w:kern w:val="0"/>
                <w:sz w:val="26"/>
                <w:szCs w:val="26"/>
                <w:lang w:val="vi-VN"/>
                <w14:ligatures w14:val="none"/>
              </w:rPr>
              <w:lastRenderedPageBreak/>
              <w:t>AI (do việc định giá chức năng và mức độ phức tạp là rất khó khăn).</w:t>
            </w:r>
          </w:p>
        </w:tc>
        <w:tc>
          <w:tcPr>
            <w:tcW w:w="7087" w:type="dxa"/>
            <w:tcBorders>
              <w:top w:val="nil"/>
              <w:left w:val="nil"/>
              <w:bottom w:val="single" w:sz="4" w:space="0" w:color="auto"/>
              <w:right w:val="single" w:sz="4" w:space="0" w:color="auto"/>
            </w:tcBorders>
            <w:hideMark/>
          </w:tcPr>
          <w:p w14:paraId="027C299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Giải trình ý kiến của Đại biểu Quốc hội, dự thảo Luật giữ Điều 5 ở mức chính sách khung và đã giao Chính phủ tổ chức bố trí nguồn lực phù hợp cho hoạt động nghiên cứu, phát triển và ứng dụng AI. Việc định giá sản phẩm và dịch vụ AI, đặc biệt đối với mô hình nền tảng có tính chất phức tạp và chi phí biến động lớn, sẽ được Chính phủ hướng dẫn theo hướng linh hoạt, giảm thủ tục hành chính. Bên cạnh cơ chế ngân sách truyền thống, Quỹ hỗ trợ phát triển trí tuệ nhân tạo được thiết kế như một công cụ tài chính linh hoạt, cho phép hỗ trợ chi phí nghiên cứu, phát triển, thử nghiệm và truy cập hạ tầng AI mà các cơ chế tài chính công thông thường khó đáp ứng. Như vậy, dự thảo bảo đảm vừa có định hướng nguồn lực </w:t>
            </w:r>
            <w:r w:rsidRPr="00AA4A03">
              <w:rPr>
                <w:rFonts w:ascii="Times New Roman" w:eastAsia="Times New Roman" w:hAnsi="Times New Roman" w:cs="Times New Roman"/>
                <w:color w:val="000000"/>
                <w:kern w:val="0"/>
                <w:sz w:val="26"/>
                <w:szCs w:val="26"/>
                <w:lang w:val="vi-VN"/>
                <w14:ligatures w14:val="none"/>
              </w:rPr>
              <w:lastRenderedPageBreak/>
              <w:t>từ ngân sách, vừa có công cụ linh hoạt để thực hiện hiệu quả các nhiệm vụ AI theo đề xuất của Đại biểu.</w:t>
            </w:r>
          </w:p>
        </w:tc>
      </w:tr>
      <w:tr w:rsidR="00B30308" w:rsidRPr="00EE706C" w14:paraId="52DC5B7F"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4CADE417"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10</w:t>
            </w:r>
          </w:p>
        </w:tc>
        <w:tc>
          <w:tcPr>
            <w:tcW w:w="2548" w:type="dxa"/>
            <w:tcBorders>
              <w:top w:val="nil"/>
              <w:left w:val="nil"/>
              <w:bottom w:val="single" w:sz="4" w:space="0" w:color="auto"/>
              <w:right w:val="single" w:sz="4" w:space="0" w:color="auto"/>
            </w:tcBorders>
            <w:hideMark/>
          </w:tcPr>
          <w:p w14:paraId="46141A6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Huỳnh Thị Hằng Nga</w:t>
            </w:r>
          </w:p>
        </w:tc>
        <w:tc>
          <w:tcPr>
            <w:tcW w:w="4394" w:type="dxa"/>
            <w:tcBorders>
              <w:top w:val="nil"/>
              <w:left w:val="nil"/>
              <w:bottom w:val="single" w:sz="4" w:space="0" w:color="auto"/>
              <w:right w:val="single" w:sz="4" w:space="0" w:color="auto"/>
            </w:tcBorders>
            <w:hideMark/>
          </w:tcPr>
          <w:p w14:paraId="0877D589"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Trí tuệ nhân tạo đang góp phần tái cấu trúc lại thị trường lao động. Nhà nước cần có chính sách phù hợp để đào tạo lại kỹ năng số và chuyển đổi mô hình giáo dục, việc làm. Chính sách này phù hợp với tinh thần cốt lõi: AI phục vụ con người, không thay thế con người và con người giữ quyền giám</w:t>
            </w:r>
            <w:r w:rsidR="00B06C74"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sát.</w:t>
            </w:r>
          </w:p>
          <w:p w14:paraId="0C4699CC" w14:textId="72497E1B"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xuất chính sách ưu tiên trợ cấp cho công nhân, người lao động chuyển nghề; xác định lộ trình cụ thể đối với những ngành nghề dần tự động hóa; khuyến khích doanh nghiệp "cắt giảm giờ làm thay vì cắt giảm số lượng nhân sự" khi AI thay thế.</w:t>
            </w:r>
          </w:p>
        </w:tc>
        <w:tc>
          <w:tcPr>
            <w:tcW w:w="7087" w:type="dxa"/>
            <w:tcBorders>
              <w:top w:val="nil"/>
              <w:left w:val="nil"/>
              <w:bottom w:val="single" w:sz="4" w:space="0" w:color="auto"/>
              <w:right w:val="single" w:sz="4" w:space="0" w:color="auto"/>
            </w:tcBorders>
            <w:hideMark/>
          </w:tcPr>
          <w:p w14:paraId="0B86E48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Dự thảo Luật tiếp tục khẳng định nguyên tắc cốt lõi “AI phục vụ con người, không thay thế thẩm quyền và trách nhiệm của con người” tại khoản 2 Điều 4. Đồng thời, Luật đã quy định chính sách phát triển, đào tạo và đào tạo lại nhân lực số tại Điều 5 và Điều 22. Các nội dung cụ thể về hỗ trợ người lao động chuyển nghề, trợ cấp, nâng cao kỹ năng số, và thích ứng với quá trình tự động hóa sẽ được Chính phủ quy định trong các chương trình, đề án phát triển nhân lực và chuyển đổi việc làm quốc gia, phù hợp chức năng quản lý nhà nước về lao động và giáo dục nghề nghiệp. Cách thiết kế này bảo đảm Luật giữ ở mức nguyên tắc nhưng tạo đầy đủ cơ sở pháp lý để Chính phủ ban hành các chính sách hỗ trợ người lao động và doanh nghiệp như Đại biểu đề xuất.</w:t>
            </w:r>
          </w:p>
        </w:tc>
      </w:tr>
      <w:tr w:rsidR="00B30308" w:rsidRPr="00EE706C" w14:paraId="792C922C"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6AAF013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11</w:t>
            </w:r>
          </w:p>
        </w:tc>
        <w:tc>
          <w:tcPr>
            <w:tcW w:w="2548" w:type="dxa"/>
            <w:tcBorders>
              <w:top w:val="nil"/>
              <w:left w:val="nil"/>
              <w:bottom w:val="single" w:sz="4" w:space="0" w:color="auto"/>
              <w:right w:val="single" w:sz="4" w:space="0" w:color="auto"/>
            </w:tcBorders>
            <w:hideMark/>
          </w:tcPr>
          <w:p w14:paraId="56CF3C6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Huỳnh Thị Hằng Nga</w:t>
            </w:r>
          </w:p>
        </w:tc>
        <w:tc>
          <w:tcPr>
            <w:tcW w:w="4394" w:type="dxa"/>
            <w:tcBorders>
              <w:top w:val="nil"/>
              <w:left w:val="nil"/>
              <w:bottom w:val="single" w:sz="4" w:space="0" w:color="auto"/>
              <w:right w:val="single" w:sz="4" w:space="0" w:color="auto"/>
            </w:tcBorders>
            <w:hideMark/>
          </w:tcPr>
          <w:p w14:paraId="674E156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nghị bổ sung chính sách ưu tiên đầu tư cho nguồn nhân lực chất lượng cao (Khoản 4 Điều 5). Cần chính sách quan tâm đào tạo kỹ sư chuyên sâu về AI, và chính sách đào tạo, bố trí nguồn lực cho chính quyền địa phương. Nhấn mạnh nhiều địa phương cấp xã còn khó khăn về hạ tầng cơ sở dữ liệu, tài chính và nhân lực ứng dụng AI.</w:t>
            </w:r>
            <w:r w:rsidRPr="00AA4A03">
              <w:rPr>
                <w:rFonts w:ascii="Times New Roman" w:eastAsia="Times New Roman" w:hAnsi="Times New Roman" w:cs="Times New Roman"/>
                <w:color w:val="000000"/>
                <w:kern w:val="0"/>
                <w:sz w:val="26"/>
                <w:szCs w:val="26"/>
                <w:lang w:val="vi-VN"/>
                <w14:ligatures w14:val="none"/>
              </w:rPr>
              <w:br/>
              <w:t>Đề xuất, kiến nghị: Bổ sung chính sách đào tạo kỹ sư chuyên sâu về AI. Bổ sung chính sách đào tạo và bố trí nguồn lực cho các địa phương, đặc biệt ở cấp cơ sở, để ứng dụng AI trong quản lý và dịch vụ công.</w:t>
            </w:r>
          </w:p>
        </w:tc>
        <w:tc>
          <w:tcPr>
            <w:tcW w:w="7087" w:type="dxa"/>
            <w:tcBorders>
              <w:top w:val="nil"/>
              <w:left w:val="nil"/>
              <w:bottom w:val="single" w:sz="4" w:space="0" w:color="auto"/>
              <w:right w:val="single" w:sz="4" w:space="0" w:color="auto"/>
            </w:tcBorders>
            <w:hideMark/>
          </w:tcPr>
          <w:p w14:paraId="39993C7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dự thảo Luật đã quy định nguyên tắc phát triển nguồn nhân lực chất lượng cao tại khoản 4 Điều 5 và được cụ thể hóa tại Điều 22, trong đó Nhà nước có chính sách đào tạo chuyên gia, kỹ sư AI, phát triển chương trình đào tạo chuyên sâu và tăng cường năng lực nghiên cứu – triển khai. Điều 22 đồng thời quy định trách nhiệm hỗ trợ đào tạo, bồi dưỡng kỹ năng số cho đội ngũ cán bộ, công chức, viên chức để bảo đảm năng lực ứng dụng AI trong hoạt động quản lý nhà nước, tạo cơ sở pháp lý để triển khai hỗ trợ cho địa phương, nhất là cấp cơ sở còn hạn chế về nhân lực, hạ tầng dữ liệu và tài chính. Các cơ chế cụ thể về bố trí nguồn lực, hỗ trợ đào tạo và bồi dưỡng tại địa phương sẽ được Chính phủ quy định trong các chương trình, đề án phát triển nhân lực số và ứng dụng AI theo Điều 24. Cách thiết kế này bảo đảm Luật giữ ở mức nguyên tắc nhưng vẫn tạo đầy đủ cơ sở pháp lý cho việc đào tạo kỹ sư AI và tăng cường năng lực địa phương như Đại biểu đề xuất.</w:t>
            </w:r>
          </w:p>
        </w:tc>
      </w:tr>
      <w:tr w:rsidR="00B30308" w:rsidRPr="00EE706C" w14:paraId="744CB689" w14:textId="77777777" w:rsidTr="00B06C74">
        <w:trPr>
          <w:trHeight w:val="2391"/>
        </w:trPr>
        <w:tc>
          <w:tcPr>
            <w:tcW w:w="708" w:type="dxa"/>
            <w:tcBorders>
              <w:top w:val="nil"/>
              <w:left w:val="single" w:sz="4" w:space="0" w:color="auto"/>
              <w:bottom w:val="single" w:sz="4" w:space="0" w:color="auto"/>
              <w:right w:val="single" w:sz="4" w:space="0" w:color="auto"/>
            </w:tcBorders>
            <w:hideMark/>
          </w:tcPr>
          <w:p w14:paraId="3DF0AC3A"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12</w:t>
            </w:r>
          </w:p>
        </w:tc>
        <w:tc>
          <w:tcPr>
            <w:tcW w:w="2548" w:type="dxa"/>
            <w:tcBorders>
              <w:top w:val="nil"/>
              <w:left w:val="nil"/>
              <w:bottom w:val="single" w:sz="4" w:space="0" w:color="auto"/>
              <w:right w:val="single" w:sz="4" w:space="0" w:color="auto"/>
            </w:tcBorders>
            <w:hideMark/>
          </w:tcPr>
          <w:p w14:paraId="550C0BD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Huỳnh Thị Hằng Nga</w:t>
            </w:r>
          </w:p>
        </w:tc>
        <w:tc>
          <w:tcPr>
            <w:tcW w:w="4394" w:type="dxa"/>
            <w:tcBorders>
              <w:top w:val="nil"/>
              <w:left w:val="nil"/>
              <w:bottom w:val="single" w:sz="4" w:space="0" w:color="auto"/>
              <w:right w:val="single" w:sz="4" w:space="0" w:color="auto"/>
            </w:tcBorders>
            <w:hideMark/>
          </w:tcPr>
          <w:p w14:paraId="40DDF680"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quan tâm đẩy mạnh công tác truyền thông nhằm nâng cao nhận thức của cán bộ, công chức, doanh nghiệp, người dân, thanh thiếu niên, học sinh về dữ liệu và ứng dụng trí tuệ nhân tạo.</w:t>
            </w:r>
          </w:p>
          <w:p w14:paraId="4A2FA1C8" w14:textId="1BE5258B"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Đẩy mạnh công tác truyền thông để toàn xã hội hiểu rõ về vai trò, lợi ích của AI và các kỹ năng cần thiết phải chuẩn bị.</w:t>
            </w:r>
          </w:p>
        </w:tc>
        <w:tc>
          <w:tcPr>
            <w:tcW w:w="7087" w:type="dxa"/>
            <w:tcBorders>
              <w:top w:val="nil"/>
              <w:left w:val="nil"/>
              <w:bottom w:val="single" w:sz="4" w:space="0" w:color="auto"/>
              <w:right w:val="single" w:sz="4" w:space="0" w:color="auto"/>
            </w:tcBorders>
            <w:hideMark/>
          </w:tcPr>
          <w:p w14:paraId="205E4B9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Cơ quan chủ trì soạn thảo xin trả lời ý kiến như sau: Tiếp thu ý kiến của Đại biểu Quốc hội về sự cần thiết phải đẩy mạnh công tác truyền thông và nâng cao nhận thức xã hội về trí tuệ nhân tạo (AI). Việc sớm có Luật AI là cần thiết để chúng ta phát triển AI một cách chủ động và có hệ thống. Dự thảo Luật đã xác định rõ nội dung này là một nhiệm vụ trọng tâm trong công tác quản lý nhà nước và chính sách của Nhà nước đối với AI. Cụ thể: 1. Về công tác truyền thông và phổ biến chính sách, pháp luật: Nội dung "Tuyên truyền, phổ biến chính sách, pháp luật" về trí tuệ nhân tạo đã được quy định là một trong những nhiệm vụ của quản lý nhà nước tại Điều 29 của Dự thảo Luật. Quy định này bảo đảm việc </w:t>
            </w:r>
            <w:r w:rsidRPr="00AA4A03">
              <w:rPr>
                <w:rFonts w:ascii="Times New Roman" w:eastAsia="Times New Roman" w:hAnsi="Times New Roman" w:cs="Times New Roman"/>
                <w:color w:val="000000"/>
                <w:kern w:val="0"/>
                <w:sz w:val="26"/>
                <w:szCs w:val="26"/>
                <w:lang w:val="vi-VN"/>
                <w14:ligatures w14:val="none"/>
              </w:rPr>
              <w:lastRenderedPageBreak/>
              <w:t>nâng cao nhận thức của cán bộ, công chức, doanh nghiệp và người dân về vai trò, lợi ích của AI được thực hiện đồng bộ và thường xuyên. 2. Về chính sách nâng cao nhận thức và tiếp cận: Chính sách của Nhà nước đã quy định về việc bảo đảm quyền và tạo điều kiện tiếp cận, học tập và thụ hưởng lợi ích từ trí tuệ nhân tạo của tổ chức, cá nhân (Điều 5 khoản 3). Đồng thời, Nhà nước khuyến khích các tổ chức, mạng lưới và sáng kiến xã hội tham gia thúc đẩy an toàn, đạo đức, tin cậy và xây dựng niềm tin xã hội trong phát triển AI (Điều 5 khoản 6). Những quy định này tạo cơ sở pháp lý để triển khai các hoạt động truyền thông và nâng cao nhận thức cộng đồng. 3. Về phát triển kỹ năng cần thiết: Để trang bị cho người dân, đặc biệt là thanh thiếu niên, học sinh các kỹ năng cần thiết để làm chủ công nghệ, Điều 22 khoản 2 của Dự thảo Luật quy định về việc giáo dục phổ thông tích hợp nội dung cơ bản về trí tuệ nhân tạo, tư duy tính toán, kỹ năng số và đạo đức công nghệ vào chương trình bắt buộc. Điều này nhằm tạo nền tảng để học sinh sử dụng AI an toàn, có tư duy phản biện và sáng tạo. Các nội dung chi tiết về việc xây dựng chương trình, tiêu chuẩn đào tạo, bồi dưỡng nhân lực và phát triển kỹ năng số sẽ được giao Bộ Giáo dục và Đào tạo chủ trì, trình Thủ tướng Chính phủ ban hành trong Chương trình quốc gia về phát triển nhân lực trí tuệ nhân tạo (Điều 22 khoản 6).</w:t>
            </w:r>
          </w:p>
        </w:tc>
      </w:tr>
      <w:tr w:rsidR="00B30308" w:rsidRPr="00EE706C" w14:paraId="656E0B67"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3E038F3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13</w:t>
            </w:r>
          </w:p>
        </w:tc>
        <w:tc>
          <w:tcPr>
            <w:tcW w:w="2548" w:type="dxa"/>
            <w:tcBorders>
              <w:top w:val="nil"/>
              <w:left w:val="nil"/>
              <w:bottom w:val="single" w:sz="4" w:space="0" w:color="auto"/>
              <w:right w:val="single" w:sz="4" w:space="0" w:color="auto"/>
            </w:tcBorders>
            <w:hideMark/>
          </w:tcPr>
          <w:p w14:paraId="29993A8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Lê Văn Khảm - TP. Hồ Chí Minh</w:t>
            </w:r>
          </w:p>
        </w:tc>
        <w:tc>
          <w:tcPr>
            <w:tcW w:w="4394" w:type="dxa"/>
            <w:tcBorders>
              <w:top w:val="nil"/>
              <w:left w:val="nil"/>
              <w:bottom w:val="single" w:sz="4" w:space="0" w:color="auto"/>
              <w:right w:val="single" w:sz="4" w:space="0" w:color="auto"/>
            </w:tcBorders>
            <w:hideMark/>
          </w:tcPr>
          <w:p w14:paraId="796A49C5"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Khái niệm "Trí tuệ nhân tạo" tại Điều 3 khoản 1 chưa rõ ràng do có cụm từ "mở rộng năng lực trí tuệ con người". Đại biểu cho rằng thuật ngữ này khó hiểu và dễ dẫn tới sự lầm tưởng rằng AI tạo ra giá trị vô biên, trong khi khả năng trí tuệ con người là vô cùng phức tạp. Trích dẫn: "Tôi thấy thuật ngữ này không thực sự rõ ràng, khó để có thể hiểu được mở rộng là như thế nào, thậm chí trong một chừng mực nào đó có thể dẫn tới sự lầm tưởng rằng AI tạo ra giá trị vô biên.".</w:t>
            </w:r>
          </w:p>
          <w:p w14:paraId="7666D37C" w14:textId="0CA036FD"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cơ quan soạn thảo nghiên cứu, cân nhắc để chỉnh lý hoặc không đưa ý "mở rộng năng lực con người". Thay vào đó, định nghĩa nên thể hiện rõ tính chất, mục đích của AI là mô phỏng, tái tạo, thực hiện năng lực trí tuệ của con người về nhận thức, học tập, suy luận, hiểu ngôn ngữ, giải quyết vấn đề và sáng tạo.</w:t>
            </w:r>
          </w:p>
        </w:tc>
        <w:tc>
          <w:tcPr>
            <w:tcW w:w="7087" w:type="dxa"/>
            <w:tcBorders>
              <w:top w:val="nil"/>
              <w:left w:val="nil"/>
              <w:bottom w:val="single" w:sz="4" w:space="0" w:color="auto"/>
              <w:right w:val="single" w:sz="4" w:space="0" w:color="auto"/>
            </w:tcBorders>
            <w:hideMark/>
          </w:tcPr>
          <w:p w14:paraId="4380A348"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như sau: Khoản 1 Điều 3 được xây dựng với mục tiêu xác định bản chất của “trí tuệ nhân tạo” dưới góc độ pháp lý, nhằm phân biệt công nghệ AI với các loại phần mềm hoặc hệ thống tự động thông thường; cụm từ “mở rộng năng lực trí tuệ con người” mang tính mô tả phổ quát theo thông lệ quốc tế, không phải là nội dung bắt buộc của định nghĩa pháp lý. Theo kỹ thuật lập pháp, định nghĩa trong luật chủ yếu làm rõ “AI là gì”, còn các mục tiêu, mục đích sử dụng, yêu cầu về an toàn, đạo đức và kiểm soát rủi ro được quy định tại các điều về nguyên tắc, hành vi bị cấm và phân loại, quản lý rủi ro (Điều 4, Điều 6, Điều 8–14). Trên cơ sở ý kiến góp ý, Ban soạn thảo sẽ tiếp tục rà soát, chỉnh lý câu chữ khoản 1 Điều 3 theo hướng bảo đảm chặt chẽ, tránh cách hiểu bắt buộc AI phải có chức năng “mở rộng năng lực con người” nhưng vẫn giữ được phạm vi khái quát và tính trung lập công nghệ của định nghĩa.</w:t>
            </w:r>
          </w:p>
          <w:p w14:paraId="61CC2DB6" w14:textId="0AC1AFC4"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Chỉnh lý khoản 1 điều 3, cụ thể: “Trí tuệ nhân tạo là hệ thống sử dụng phương pháp tính toán để phân tích hoặc học từ dữ liệu và tạo ra đầu ra như dự đoán, khuyến nghị, quyết định hoặc nội dung mới có ảnh hưởng đến môi trường thực tế”.</w:t>
            </w:r>
          </w:p>
        </w:tc>
      </w:tr>
      <w:tr w:rsidR="00B30308" w:rsidRPr="00EE706C" w14:paraId="39D18443" w14:textId="77777777" w:rsidTr="00AA4A03">
        <w:trPr>
          <w:trHeight w:val="1741"/>
        </w:trPr>
        <w:tc>
          <w:tcPr>
            <w:tcW w:w="708" w:type="dxa"/>
            <w:tcBorders>
              <w:top w:val="nil"/>
              <w:left w:val="single" w:sz="4" w:space="0" w:color="auto"/>
              <w:bottom w:val="single" w:sz="4" w:space="0" w:color="auto"/>
              <w:right w:val="single" w:sz="4" w:space="0" w:color="auto"/>
            </w:tcBorders>
            <w:hideMark/>
          </w:tcPr>
          <w:p w14:paraId="49B8599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14</w:t>
            </w:r>
          </w:p>
        </w:tc>
        <w:tc>
          <w:tcPr>
            <w:tcW w:w="2548" w:type="dxa"/>
            <w:tcBorders>
              <w:top w:val="nil"/>
              <w:left w:val="nil"/>
              <w:bottom w:val="single" w:sz="4" w:space="0" w:color="auto"/>
              <w:right w:val="single" w:sz="4" w:space="0" w:color="auto"/>
            </w:tcBorders>
            <w:hideMark/>
          </w:tcPr>
          <w:p w14:paraId="4050DFC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Lê Văn Khảm - TP. Hồ Chí Minh</w:t>
            </w:r>
          </w:p>
        </w:tc>
        <w:tc>
          <w:tcPr>
            <w:tcW w:w="4394" w:type="dxa"/>
            <w:tcBorders>
              <w:top w:val="nil"/>
              <w:left w:val="nil"/>
              <w:bottom w:val="single" w:sz="4" w:space="0" w:color="auto"/>
              <w:right w:val="single" w:sz="4" w:space="0" w:color="auto"/>
            </w:tcBorders>
            <w:hideMark/>
          </w:tcPr>
          <w:p w14:paraId="76006182"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Cách tiếp cận quản lý dựa trên phân loại rủi ro là phù hợp thông lệ quốc tế, nhưng việc phân loại rủi ro hiện tại mới chỉ nêu tính chất, chưa có ngưỡng kỹ thuật định lượng, gây khó khăn khi thực thi. Cần có quy định nguyên tắc về tiêu chí đánh giá có thể đo lường được.</w:t>
            </w:r>
          </w:p>
          <w:p w14:paraId="79A58F6F" w14:textId="0A2CDBFE"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Cần quy định mang tính nguyên tắc, có tính nền tảng, với các tiêu chí đánh giá có thể đo lường được, cảm nhận được, theo dõi được. Cần quy định nguyên tắc xây dựng các tiêu chuẩn đánh giá độ chính xác, độ tin cậy, tính an toàn, kể cả mức độ chấp nhận sai số.</w:t>
            </w:r>
          </w:p>
        </w:tc>
        <w:tc>
          <w:tcPr>
            <w:tcW w:w="7087" w:type="dxa"/>
            <w:tcBorders>
              <w:top w:val="nil"/>
              <w:left w:val="nil"/>
              <w:bottom w:val="single" w:sz="4" w:space="0" w:color="auto"/>
              <w:right w:val="single" w:sz="4" w:space="0" w:color="auto"/>
            </w:tcBorders>
            <w:hideMark/>
          </w:tcPr>
          <w:p w14:paraId="5F7C93B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Dự thảo Luật đã tiếp cận việc phân loại rủi ro theo hướng quản lý dựa trên nguyên tắc và mức độ tác động, nhằm bảo đảm tính ổn định và linh hoạt trước tốc độ thay đổi nhanh chóng của công nghệ AI. Khoản 4 Điều 8 của Dự thảo đã quy định các tiêu chí mang tính nguyên tắc, nền tảng để xác định mức độ rủi ro, bao gồm mức độ tác động đến quyền con người, an toàn, an ninh; lĩnh vực sử dụng; và phạm vi người sử dụng và quy mô ảnh hưởng của hệ thống. Các tiêu chí này là cơ sở để Chính phủ cụ thể hóa thành các yêu cầu kỹ thuật chi tiết (như độ chính xác, độ tin cậy, mức độ chấp nhận sai số) trong Nghị định hướng dẫn. Việc giao Chính phủ quy định chi tiết về nội dung, trình tự, thủ tục thông báo và hướng dẫn kỹ thuật về phân loại rủi ro (khoản 6 Điều 9) sẽ bảo đảm tính khả thi trong thực thi, đồng thời cho phép cơ quan quản lý điều chỉnh kịp thời các tiêu chuẩn kỹ thuật khi thực tiễn thay đổi mà không cần sửa Luật.</w:t>
            </w:r>
          </w:p>
        </w:tc>
      </w:tr>
      <w:tr w:rsidR="00B30308" w:rsidRPr="00EE706C" w14:paraId="08DF389D" w14:textId="77777777" w:rsidTr="00B06C74">
        <w:trPr>
          <w:trHeight w:val="3525"/>
        </w:trPr>
        <w:tc>
          <w:tcPr>
            <w:tcW w:w="708" w:type="dxa"/>
            <w:tcBorders>
              <w:top w:val="nil"/>
              <w:left w:val="single" w:sz="4" w:space="0" w:color="auto"/>
              <w:bottom w:val="single" w:sz="4" w:space="0" w:color="auto"/>
              <w:right w:val="single" w:sz="4" w:space="0" w:color="auto"/>
            </w:tcBorders>
            <w:hideMark/>
          </w:tcPr>
          <w:p w14:paraId="35CBD243"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15</w:t>
            </w:r>
          </w:p>
        </w:tc>
        <w:tc>
          <w:tcPr>
            <w:tcW w:w="2548" w:type="dxa"/>
            <w:tcBorders>
              <w:top w:val="nil"/>
              <w:left w:val="nil"/>
              <w:bottom w:val="single" w:sz="4" w:space="0" w:color="auto"/>
              <w:right w:val="single" w:sz="4" w:space="0" w:color="auto"/>
            </w:tcBorders>
            <w:hideMark/>
          </w:tcPr>
          <w:p w14:paraId="674E189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Lê Văn Khảm - TP. Hồ Chí Minh</w:t>
            </w:r>
          </w:p>
        </w:tc>
        <w:tc>
          <w:tcPr>
            <w:tcW w:w="4394" w:type="dxa"/>
            <w:tcBorders>
              <w:top w:val="nil"/>
              <w:left w:val="nil"/>
              <w:bottom w:val="single" w:sz="4" w:space="0" w:color="auto"/>
              <w:right w:val="single" w:sz="4" w:space="0" w:color="auto"/>
            </w:tcBorders>
            <w:hideMark/>
          </w:tcPr>
          <w:p w14:paraId="22D1712B"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có quy định riêng cho một số lĩnh vực có rủi ro cao như y tế, tài chính, giao thông. Đặc biệt trong lĩnh vực y tế, AI có rủi ro sai số lớn và yêu cầu kiểm soát rất chặt chẽ. Ví dụ về AI cần kiểm soát chặt chẽ: AI hỗ trợ ra quyết định lâm sàng (chẩn đoán, dự đoán nguy cơ tử vong), robot phẫu thuật có sử dụng AI, AI hỗ trợ kê đơn hoặc ra phác đồ điều trị.</w:t>
            </w:r>
          </w:p>
          <w:p w14:paraId="3A1291A1" w14:textId="129CC22A"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Đề xuất, kiến nghị: Luật cần có những quy định mang tính nguyên tắc, yêu cầu </w:t>
            </w:r>
            <w:r w:rsidRPr="00AA4A03">
              <w:rPr>
                <w:rFonts w:ascii="Times New Roman" w:eastAsia="Times New Roman" w:hAnsi="Times New Roman" w:cs="Times New Roman"/>
                <w:color w:val="000000"/>
                <w:kern w:val="0"/>
                <w:sz w:val="26"/>
                <w:szCs w:val="26"/>
                <w:lang w:val="vi-VN"/>
                <w14:ligatures w14:val="none"/>
              </w:rPr>
              <w:lastRenderedPageBreak/>
              <w:t>phải thực hiện làm cơ sở để Chính phủ, Bộ Y tế và các bộ, ngành liên quan quy định chi tiết. Yêu cầu AI trong y tế phải được kiểm định như thiết bị y tế (có danh mục bắt buộc). Bổ sung quy định về giám sát lưu hành (báo cáo định kỳ, cảnh báo nhanh sự cố, kiểm toán thuật toán, theo dõi sai số theo thời gian thực).</w:t>
            </w:r>
          </w:p>
        </w:tc>
        <w:tc>
          <w:tcPr>
            <w:tcW w:w="7087" w:type="dxa"/>
            <w:tcBorders>
              <w:top w:val="nil"/>
              <w:left w:val="nil"/>
              <w:bottom w:val="single" w:sz="4" w:space="0" w:color="auto"/>
              <w:right w:val="single" w:sz="4" w:space="0" w:color="auto"/>
            </w:tcBorders>
            <w:hideMark/>
          </w:tcPr>
          <w:p w14:paraId="7569A47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ý kiến như sau: Giải trình ý kiến của Đại biểu Quốc hội, Dự thảo Luật đã tiếp cận quản lý hệ thống trí tuệ nhân tạo (AI) theo nguyên tắc dựa trên mức độ rủi ro, trong đó các lĩnh vực có tác động trực tiếp đến tính mạng, sức khỏe, quyền con người như y tế, tài chính, giao thông được xác định là lĩnh vực rủi ro cao. Luật đã thiết lập khung pháp lý quản lý chặt chẽ đối với hệ thống AI rủi ro cao, bao gồm: 1. Về kiểm soát bắt buộc: Điều 12 quy định hệ thống AI rủi ro cao phải được đánh giá sự phù hợp trước khi lưu hành, đưa vào sử dụng, và hình thức đánh giá bao gồm Chứng nhận sự phù hợp do tổ chức được chỉ định thực hiện. Thủ tướng Chính phủ sẽ ban hành Danh mục hệ thống AI rủi ro cao tương ứng với từng hình thức đánh giá, làm cơ sở để Bộ Y </w:t>
            </w:r>
            <w:r w:rsidRPr="00AA4A03">
              <w:rPr>
                <w:rFonts w:ascii="Times New Roman" w:eastAsia="Times New Roman" w:hAnsi="Times New Roman" w:cs="Times New Roman"/>
                <w:color w:val="000000"/>
                <w:kern w:val="0"/>
                <w:sz w:val="26"/>
                <w:szCs w:val="26"/>
                <w:lang w:val="vi-VN"/>
                <w14:ligatures w14:val="none"/>
              </w:rPr>
              <w:lastRenderedPageBreak/>
              <w:t>tế và các bộ ngành liên quan quy định chi tiết về quy trình kiểm định chuyên môn (ví dụ như đối với thiết bị y tế). 2. Về trách nhiệm quản lý và giám sát: Điều 13 quy định trách nhiệm của Nhà cung cấp hệ thống rủi ro cao phải thiết lập và duy trì biện pháp quản lý rủi ro, thường xuyên rà soát, lập và lưu giữ hồ sơ kỹ thuật, nhật ký hoạt động phục vụ kiểm tra sau lưu hành. Đồng thời, Nhà cung cấp phải thực hiện nghĩa vụ xử lý sự cố theo Điều 11, bao gồm việc khẩn trương áp dụng biện pháp kỹ thuật để khắc phục, tạm dừng hoặc thu hồi hệ thống và thông báo cho cơ quan có thẩm quyền khi xảy ra sự cố nghiêm trọng. 3. Về thẩm quyền: Luật AI là luật khung, tập trung xác định các nguyên tắc và giao Chính phủ quy định chi tiết. Việc xây dựng tiêu chuẩn, quy chuẩn kỹ thuật trong các lĩnh vực chuyên ngành sẽ do bộ, ngành quản lý chuyên môn chủ trì. Như vậy, Dự thảo Luật đã quy định đầy đủ các nguyên tắc kiểm soát bắt buộc, giám sát lưu hành và trách nhiệm của chủ thể đối với AI rủi ro cao, làm cơ sở pháp lý để Chính phủ và các Bộ chuyên ngành cụ thể hóa các yêu cầu kiểm định và giám sát chi tiết trong lĩnh vực y tế, giao thông, tài chính.</w:t>
            </w:r>
          </w:p>
        </w:tc>
      </w:tr>
      <w:tr w:rsidR="00B30308" w:rsidRPr="00EE706C" w14:paraId="34BEF659" w14:textId="77777777" w:rsidTr="00AA4A03">
        <w:trPr>
          <w:trHeight w:val="3744"/>
        </w:trPr>
        <w:tc>
          <w:tcPr>
            <w:tcW w:w="708" w:type="dxa"/>
            <w:tcBorders>
              <w:top w:val="nil"/>
              <w:left w:val="single" w:sz="4" w:space="0" w:color="auto"/>
              <w:bottom w:val="single" w:sz="4" w:space="0" w:color="auto"/>
              <w:right w:val="single" w:sz="4" w:space="0" w:color="auto"/>
            </w:tcBorders>
            <w:hideMark/>
          </w:tcPr>
          <w:p w14:paraId="768B9E1F"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16</w:t>
            </w:r>
          </w:p>
        </w:tc>
        <w:tc>
          <w:tcPr>
            <w:tcW w:w="2548" w:type="dxa"/>
            <w:tcBorders>
              <w:top w:val="nil"/>
              <w:left w:val="nil"/>
              <w:bottom w:val="single" w:sz="4" w:space="0" w:color="auto"/>
              <w:right w:val="single" w:sz="4" w:space="0" w:color="auto"/>
            </w:tcBorders>
            <w:hideMark/>
          </w:tcPr>
          <w:p w14:paraId="653E093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Lê Văn Khảm - TP. Hồ Chí Minh</w:t>
            </w:r>
          </w:p>
        </w:tc>
        <w:tc>
          <w:tcPr>
            <w:tcW w:w="4394" w:type="dxa"/>
            <w:tcBorders>
              <w:top w:val="nil"/>
              <w:left w:val="nil"/>
              <w:bottom w:val="single" w:sz="4" w:space="0" w:color="auto"/>
              <w:right w:val="single" w:sz="4" w:space="0" w:color="auto"/>
            </w:tcBorders>
            <w:hideMark/>
          </w:tcPr>
          <w:p w14:paraId="17F469D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Về trách nhiệm quản lý nhà nước đối với AI trong y tế.</w:t>
            </w:r>
            <w:r w:rsidRPr="00AA4A03">
              <w:rPr>
                <w:rFonts w:ascii="Times New Roman" w:eastAsia="Times New Roman" w:hAnsi="Times New Roman" w:cs="Times New Roman"/>
                <w:color w:val="000000"/>
                <w:kern w:val="0"/>
                <w:sz w:val="26"/>
                <w:szCs w:val="26"/>
                <w:lang w:val="vi-VN"/>
                <w14:ligatures w14:val="none"/>
              </w:rPr>
              <w:br/>
              <w:t>Đề xuất, kiến nghị: Đề nghị giao trách nhiệm quản lý AI trong y tế cho Bộ Y tế phối hợp với Bộ Khoa học và Công nghệ để thực hiện. Bộ Y tế sẽ có các quy định về tiêu chuẩn, quy chuẩn, xác định mức độ rủi ro và kiểm soát rủi ro.</w:t>
            </w:r>
          </w:p>
        </w:tc>
        <w:tc>
          <w:tcPr>
            <w:tcW w:w="7087" w:type="dxa"/>
            <w:tcBorders>
              <w:top w:val="nil"/>
              <w:left w:val="nil"/>
              <w:bottom w:val="single" w:sz="4" w:space="0" w:color="auto"/>
              <w:right w:val="single" w:sz="4" w:space="0" w:color="auto"/>
            </w:tcBorders>
            <w:hideMark/>
          </w:tcPr>
          <w:p w14:paraId="168DDF7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Cơ quan soạn thảo trân trọng ghi nhận tầm quan trọng của việc quản lý chuyên ngành đối với trí tuệ nhân tạo (AI) trong lĩnh vực y tế, một lĩnh vực có rủi ro cao ảnh hưởng trực tiếp đến tính mạng và sức khỏe con người. Dự thảo Luật đã thiết lập nguyên tắc quản lý nhà nước thống nhất và cơ chế phối hợp liên ngành chặt chẽ. Theo khoản 1 và khoản 2 Điều 32, Chính phủ thống nhất quản lý nhà nước về trí tuệ nhân tạo, trong đó Bộ Khoa học và Công nghệ (BKHCN) chịu trách nhiệm chủ trì, phối hợp với các Bộ, cơ quan ngang bộ khác. Khoản 3 Điều 32 quy định rõ Bộ, cơ quan ngang bộ (bao gồm Bộ Y tế) phối hợp với BKHCN thực hiện quản lý nhà nước về AI trong phạm vi chức năng, nhiệm vụ và địa bàn tương ứng. Như vậy, BKHCN là cơ quan đầu mối quản lý chung về AI, còn Bộ Y tế sẽ chủ trì thực hiện các nhiệm vụ quản lý chuyên ngành đối với AI trong y tế, bao gồm việc xây dựng các quy định về tiêu chuẩn, quy chuẩn kỹ thuật và kiểm soát rủi ro trong phạm vi lĩnh vực của mình. Khoản 4 Điều 32 đã giao Chính phủ quy định chi tiết nhiệm vụ, quyền hạn và cơ chế phối hợp giữa các bộ, cơ quan ngang bộ. Cách tiếp cận này bảo đảm tính thống nhất trong quản lý nhà nước chung về AI, đồng thời phát huy được năng lực chuyên môn sâu của Bộ Y tế để quản lý rủi ro và an toàn trong lĩnh vực đặc thù.</w:t>
            </w:r>
          </w:p>
        </w:tc>
      </w:tr>
      <w:tr w:rsidR="00B30308" w:rsidRPr="00EE706C" w14:paraId="277F78E9"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1CFD9524"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17</w:t>
            </w:r>
          </w:p>
        </w:tc>
        <w:tc>
          <w:tcPr>
            <w:tcW w:w="2548" w:type="dxa"/>
            <w:tcBorders>
              <w:top w:val="nil"/>
              <w:left w:val="nil"/>
              <w:bottom w:val="single" w:sz="4" w:space="0" w:color="auto"/>
              <w:right w:val="single" w:sz="4" w:space="0" w:color="auto"/>
            </w:tcBorders>
            <w:hideMark/>
          </w:tcPr>
          <w:p w14:paraId="474F53A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Lê Văn Khảm - TP. Hồ Chí Minh</w:t>
            </w:r>
          </w:p>
        </w:tc>
        <w:tc>
          <w:tcPr>
            <w:tcW w:w="4394" w:type="dxa"/>
            <w:tcBorders>
              <w:top w:val="nil"/>
              <w:left w:val="nil"/>
              <w:bottom w:val="single" w:sz="4" w:space="0" w:color="auto"/>
              <w:right w:val="single" w:sz="4" w:space="0" w:color="auto"/>
            </w:tcBorders>
            <w:hideMark/>
          </w:tcPr>
          <w:p w14:paraId="306FD2CB"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nghị cân nhắc kỹ việc để nhà cung cấp tự phân loại rủi ro đối với AI trong y tế, như quy định tại Điều 9 của dự thảo luật, do tính chất rủi ro cao của lĩnh vực này.</w:t>
            </w:r>
          </w:p>
          <w:p w14:paraId="49482141" w14:textId="10EB5D88"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cân nhắc kỹ việc nhà cung cấp tự phân loại rủi ro đối với AI trong y tế.</w:t>
            </w:r>
          </w:p>
        </w:tc>
        <w:tc>
          <w:tcPr>
            <w:tcW w:w="7087" w:type="dxa"/>
            <w:tcBorders>
              <w:top w:val="nil"/>
              <w:left w:val="nil"/>
              <w:bottom w:val="single" w:sz="4" w:space="0" w:color="auto"/>
              <w:right w:val="single" w:sz="4" w:space="0" w:color="auto"/>
            </w:tcBorders>
            <w:hideMark/>
          </w:tcPr>
          <w:p w14:paraId="6F30855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chia sẻ quan ngại về tính chất rủi ro cao của các ứng dụng AI trong y tế và nguy cơ đánh giá thấp rủi ro nếu chỉ dựa vào cơ chế tự phân loại. Mặc dù Điều 9 cho phép nhà cung cấp tự phân loại, việc này không phải là cơ chế tự quyết định rủi ro, vì kết quả phân loại phải được công khai minh bạch theo Điều 10, tạo cơ sở để cơ quan nhà nước và xã hội giám sát. Đặc biệt, đối với AI rủi ro cao trong y tế, Điều 13 quy định các nghĩa vụ bắt buộc gồm: quản lý rủi ro, đánh giá an toàn, kiểm tra định kỳ, hạn chế đầu ra, bảo đảm khả năng can thiệp của con người và chứng nhận sự phù hợp trước khi đưa vào sử dụng. Điều 13 cũng yêu cầu hệ thống phải đánh giá lại và cập nhật phân loại rủi ro khi thay đổi thuật toán, dữ liệu hoặc phạm vi ứng dụng. Như vậy, Luật không dựa vào tự phân loại đơn thuần mà thiết lập cơ chế kiểm soát nhiều tầng, bảo đảm an toàn tuyệt đối cho lĩnh vực y tế.</w:t>
            </w:r>
          </w:p>
        </w:tc>
      </w:tr>
      <w:tr w:rsidR="00B30308" w:rsidRPr="00EE706C" w14:paraId="1362E2F5" w14:textId="77777777" w:rsidTr="00B06C74">
        <w:trPr>
          <w:trHeight w:val="1399"/>
        </w:trPr>
        <w:tc>
          <w:tcPr>
            <w:tcW w:w="708" w:type="dxa"/>
            <w:tcBorders>
              <w:top w:val="nil"/>
              <w:left w:val="single" w:sz="4" w:space="0" w:color="auto"/>
              <w:bottom w:val="single" w:sz="4" w:space="0" w:color="auto"/>
              <w:right w:val="single" w:sz="4" w:space="0" w:color="auto"/>
            </w:tcBorders>
            <w:hideMark/>
          </w:tcPr>
          <w:p w14:paraId="604E3CDD"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18</w:t>
            </w:r>
          </w:p>
        </w:tc>
        <w:tc>
          <w:tcPr>
            <w:tcW w:w="2548" w:type="dxa"/>
            <w:tcBorders>
              <w:top w:val="nil"/>
              <w:left w:val="nil"/>
              <w:bottom w:val="single" w:sz="4" w:space="0" w:color="auto"/>
              <w:right w:val="single" w:sz="4" w:space="0" w:color="auto"/>
            </w:tcBorders>
            <w:hideMark/>
          </w:tcPr>
          <w:p w14:paraId="3481C94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Lê Văn Khảm - TP. Hồ Chí Minh</w:t>
            </w:r>
          </w:p>
        </w:tc>
        <w:tc>
          <w:tcPr>
            <w:tcW w:w="4394" w:type="dxa"/>
            <w:tcBorders>
              <w:top w:val="nil"/>
              <w:left w:val="nil"/>
              <w:bottom w:val="single" w:sz="4" w:space="0" w:color="auto"/>
              <w:right w:val="single" w:sz="4" w:space="0" w:color="auto"/>
            </w:tcBorders>
            <w:hideMark/>
          </w:tcPr>
          <w:p w14:paraId="3EDCC301"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Dữ liệu là yếu tố sống còn của AI, cần bổ sung làm rõ hơn các quy định về nguồn dữ liệu, tính hợp pháp, tính bảo mật, xác thực giá trị, tính đúng đắn cũng như kiểm soát chất lượng dữ liệu. Việc kiểm soát dữ liệu được xem như bước để đánh giá nguy cơ rủi ro và giảm thiểu lỗi sai.</w:t>
            </w:r>
          </w:p>
          <w:p w14:paraId="7214285F" w14:textId="29626581"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Đề xuất, kiến nghị: Đề nghị bổ sung quy định về chuẩn hóa quy định về ẩn danh, về quản trị vòng đời, quy định về kiểm định, kiểm toán dữ liệu. Cần quy định rõ </w:t>
            </w:r>
            <w:r w:rsidRPr="00AA4A03">
              <w:rPr>
                <w:rFonts w:ascii="Times New Roman" w:eastAsia="Times New Roman" w:hAnsi="Times New Roman" w:cs="Times New Roman"/>
                <w:color w:val="000000"/>
                <w:kern w:val="0"/>
                <w:sz w:val="26"/>
                <w:szCs w:val="26"/>
                <w:lang w:val="vi-VN"/>
                <w14:ligatures w14:val="none"/>
              </w:rPr>
              <w:lastRenderedPageBreak/>
              <w:t>hơn về việc phân loại dữ liệu (cá nhân, phi cá nhân, công, chuyên ngành) để làm cơ sở cho quản lý, xác định độ an toàn, tính chính xác và cơ chế chia sẻ.</w:t>
            </w:r>
          </w:p>
        </w:tc>
        <w:tc>
          <w:tcPr>
            <w:tcW w:w="7087" w:type="dxa"/>
            <w:tcBorders>
              <w:top w:val="nil"/>
              <w:left w:val="nil"/>
              <w:bottom w:val="single" w:sz="4" w:space="0" w:color="auto"/>
              <w:right w:val="single" w:sz="4" w:space="0" w:color="auto"/>
            </w:tcBorders>
            <w:hideMark/>
          </w:tcPr>
          <w:p w14:paraId="0A5DB47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Ban soạn thảo xin báo cáo như sau: Ban soạn thảo thống nhất với nhận định của Đại biểu Quốc hội về vai trò sống còn của dữ liệu đối với trí tuệ nhân tạo. Tuy nhiên, các nội dung Đại biểu đề nghị bổ sung như phân loại dữ liệu, chuẩn hóa ẩn danh, quản trị vòng đời, kiểm định và kiểm toán dữ liệu đã được quy định đầy đủ trong Luật Dữ liệu (Luật số 60/2024/QH15). Để bảo đảm tính thống nhất của hệ thống pháp luật, Dự thảo Luật AI quy định theo hướng nguyên tắc: khoản 1 Điều 16 yêu cầu dữ liệu sử dụng cho phát triển và vận hành AI phải hợp pháp, chính xác, được xử lý an toàn và tuân thủ pháp luật về dữ liệu; đồng thời khoản 6 Điều 16 giao Chính phủ quy định chi tiết việc quản lý, khai thác và chia sẻ dữ liệu phục vụ AI, bao gồm các yêu cầu kỹ thuật và biện pháp bảo </w:t>
            </w:r>
            <w:r w:rsidRPr="00AA4A03">
              <w:rPr>
                <w:rFonts w:ascii="Times New Roman" w:eastAsia="Times New Roman" w:hAnsi="Times New Roman" w:cs="Times New Roman"/>
                <w:color w:val="000000"/>
                <w:kern w:val="0"/>
                <w:sz w:val="26"/>
                <w:szCs w:val="26"/>
                <w:lang w:val="vi-VN"/>
                <w14:ligatures w14:val="none"/>
              </w:rPr>
              <w:lastRenderedPageBreak/>
              <w:t>đảm chất lượng dữ liệu. Cách thiết kế này cho phép triển khai đầy đủ các nội dung Đại biểu nêu nhưng vẫn bảo đảm Luật AI không trùng lặp, không mâu thuẫn với Luật Dữ liệu và giữ tính linh hoạt trước sự phát triển nhanh của công nghệ.</w:t>
            </w:r>
          </w:p>
        </w:tc>
      </w:tr>
      <w:tr w:rsidR="00B30308" w:rsidRPr="00EE706C" w14:paraId="49ABD583"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53A99A6F"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19</w:t>
            </w:r>
          </w:p>
        </w:tc>
        <w:tc>
          <w:tcPr>
            <w:tcW w:w="2548" w:type="dxa"/>
            <w:tcBorders>
              <w:top w:val="nil"/>
              <w:left w:val="nil"/>
              <w:bottom w:val="single" w:sz="4" w:space="0" w:color="auto"/>
              <w:right w:val="single" w:sz="4" w:space="0" w:color="auto"/>
            </w:tcBorders>
            <w:hideMark/>
          </w:tcPr>
          <w:p w14:paraId="2C966E7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Lê Văn Khảm - TP. Hồ Chí Minh</w:t>
            </w:r>
          </w:p>
        </w:tc>
        <w:tc>
          <w:tcPr>
            <w:tcW w:w="4394" w:type="dxa"/>
            <w:tcBorders>
              <w:top w:val="nil"/>
              <w:left w:val="nil"/>
              <w:bottom w:val="single" w:sz="4" w:space="0" w:color="auto"/>
              <w:right w:val="single" w:sz="4" w:space="0" w:color="auto"/>
            </w:tcBorders>
            <w:hideMark/>
          </w:tcPr>
          <w:p w14:paraId="219BB98C"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có một điều khoản riêng quy định về dữ liệu y tế do yêu cầu đặc biệt về chuẩn dữ liệu, đồng bộ chất lượng, và chống thiên lệch. Trích dẫn: "Việc có quy định riêng dữ liệu về AI y tế là cần thiết để vừa tận dụng được ưu thế của AI, vừa nâng cao chất lượng dịch vụ chăm sóc sức khỏe và bảo đảm an toàn người bệnh".</w:t>
            </w:r>
          </w:p>
          <w:p w14:paraId="2218926A" w14:textId="6995599D"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Nên có một điều khoản riêng quy định về dữ liệu y tế. Việc phát triển AI trong lĩnh vực chuyên môn cần phụ thuộc vào quy mô thông tin, độ nhạy, độ đặc hiệu của các thông số chuyên môn y tế, tính đồng nhất của dữ liệu.</w:t>
            </w:r>
          </w:p>
        </w:tc>
        <w:tc>
          <w:tcPr>
            <w:tcW w:w="7087" w:type="dxa"/>
            <w:tcBorders>
              <w:top w:val="nil"/>
              <w:left w:val="nil"/>
              <w:bottom w:val="single" w:sz="4" w:space="0" w:color="auto"/>
              <w:right w:val="single" w:sz="4" w:space="0" w:color="auto"/>
            </w:tcBorders>
            <w:hideMark/>
          </w:tcPr>
          <w:p w14:paraId="23B5B56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nhận thấy đề xuất của Đại biểu về yêu cầu quản lý đặc thù đối với dữ liệu y tế là xác đáng, do tính nhạy cảm, độ chính xác và nguy cơ thiên lệch cao của dữ liệu trong lĩnh vực này. Tuy nhiên, việc bổ sung một điều luật riêng về “dữ liệu y tế” trong Luật AI là không phù hợp vì vấn đề này đã được quy định đầy đủ và chặt chẽ trong Luật Dữ liệu (Luật số 60/2024/QH15) và pháp luật chuyên ngành y tế. Để bảo đảm thống nhất hệ thống pháp luật, Dự thảo Luật AI quy định theo nguyên tắc tại khoản 1 Điều 16, yêu cầu dữ liệu sử dụng cho AI phải hợp pháp, chính xác, an toàn và tuân thủ pháp luật về dữ liệu và pháp luật chuyên ngành; đồng thời khoản 6 Điều 16 giao Chính phủ hướng dẫn chi tiết việc quản lý, khai thác và chia sẻ dữ liệu phục vụ AI, cho phép thiết lập các tiêu chuẩn kỹ thuật riêng đối với dữ liệu y tế khi cần thiết. Thiết kế này bảo đảm xử lý đầy đủ yêu cầu đặc thù của dữ liệu y tế nhưng không tạo trùng lặp và không phá vỡ cấu trúc điều chỉnh theo nguyên tắc của Luật AI.</w:t>
            </w:r>
          </w:p>
        </w:tc>
      </w:tr>
      <w:tr w:rsidR="00B30308" w:rsidRPr="00EE706C" w14:paraId="4C250D43" w14:textId="77777777" w:rsidTr="00AA4A03">
        <w:trPr>
          <w:trHeight w:val="3744"/>
        </w:trPr>
        <w:tc>
          <w:tcPr>
            <w:tcW w:w="708" w:type="dxa"/>
            <w:tcBorders>
              <w:top w:val="nil"/>
              <w:left w:val="single" w:sz="4" w:space="0" w:color="auto"/>
              <w:bottom w:val="single" w:sz="4" w:space="0" w:color="auto"/>
              <w:right w:val="single" w:sz="4" w:space="0" w:color="auto"/>
            </w:tcBorders>
            <w:hideMark/>
          </w:tcPr>
          <w:p w14:paraId="602AEB1D"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20</w:t>
            </w:r>
          </w:p>
        </w:tc>
        <w:tc>
          <w:tcPr>
            <w:tcW w:w="2548" w:type="dxa"/>
            <w:tcBorders>
              <w:top w:val="nil"/>
              <w:left w:val="nil"/>
              <w:bottom w:val="single" w:sz="4" w:space="0" w:color="auto"/>
              <w:right w:val="single" w:sz="4" w:space="0" w:color="auto"/>
            </w:tcBorders>
            <w:hideMark/>
          </w:tcPr>
          <w:p w14:paraId="698AA04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Lưu Bá Mạc</w:t>
            </w:r>
          </w:p>
        </w:tc>
        <w:tc>
          <w:tcPr>
            <w:tcW w:w="4394" w:type="dxa"/>
            <w:tcBorders>
              <w:top w:val="nil"/>
              <w:left w:val="nil"/>
              <w:bottom w:val="single" w:sz="4" w:space="0" w:color="auto"/>
              <w:right w:val="single" w:sz="4" w:space="0" w:color="auto"/>
            </w:tcBorders>
            <w:hideMark/>
          </w:tcPr>
          <w:p w14:paraId="0633E7D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Bổ sung trách nhiệm về AI xanh đối với các nhà phát triển và người sử dụng mô hình AI đa dụng, tập trung vào việc giảm thiểu phát thải và tiết kiệm tài nguyên. Đại biểu đề xuất phải "có trách nhiệm và có biện pháp giảm thiểu phát thải, có định hướng chiến lược sử dụng năng lượng tái tạo, tối ưu hóa thuật toán để tiết kiệm tài nguyên" nhằm "hướng tới trí tuệ nhân tạo xanh, sản phẩm trí tuệ nhân tạo xanh".</w:t>
            </w:r>
            <w:r w:rsidRPr="00AA4A03">
              <w:rPr>
                <w:rFonts w:ascii="Times New Roman" w:eastAsia="Times New Roman" w:hAnsi="Times New Roman" w:cs="Times New Roman"/>
                <w:color w:val="000000"/>
                <w:kern w:val="0"/>
                <w:sz w:val="26"/>
                <w:szCs w:val="26"/>
                <w:lang w:val="vi-VN"/>
                <w14:ligatures w14:val="none"/>
              </w:rPr>
              <w:br/>
              <w:t>Đề xuất, kiến nghị: Đề nghị cân nhắc bổ sung thêm quy định vào khoản 1 Điều 15 về trách nhiệm giảm thiểu phát thải, sử dụng năng lượng tái tạo, tối ưu hóa thuật toán để tiết kiệm tài nguyên trong toàn bộ vòng đời của hệ thống AI.</w:t>
            </w:r>
          </w:p>
        </w:tc>
        <w:tc>
          <w:tcPr>
            <w:tcW w:w="7087" w:type="dxa"/>
            <w:tcBorders>
              <w:top w:val="nil"/>
              <w:left w:val="nil"/>
              <w:bottom w:val="single" w:sz="4" w:space="0" w:color="auto"/>
              <w:right w:val="single" w:sz="4" w:space="0" w:color="auto"/>
            </w:tcBorders>
            <w:hideMark/>
          </w:tcPr>
          <w:p w14:paraId="5AD0FDA4"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thống nhất với đề xuất của Đại biểu về việc tăng cường định hướng AI xanh nhằm giảm tác động môi trường trong quá trình phát triển và vận hành hệ thống trí tuệ nhân tạo. Tuy nhiên, nội dung Đại biểu kiến nghị không phù hợp để bổ sung vào Điều 15, vì Điều 15 chỉ điều chỉnh Hạ tầng trí tuệ nhân tạo quốc gia, không điều chỉnh trách nhiệm của nhà phát triển hoặc người sử dụng. Để tiếp thu hợp lý và bảo đảm đúng cấu trúc của Luật, Ban soạn thảo đã chỉnh lý làm rõ khoản 4 Điều 4 theo hướng nhấn mạnh yêu cầu phát triển và ứng dụng trí tuệ nhân tạo gắn với sử dụng hiệu quả tài nguyên, tiết kiệm năng lượng và giảm tác động đến môi trường, phù hợp định hướng phát triển xanh, bền vững. Các yêu cầu kỹ thuật chi tiết như tối ưu thuật toán hay sử dụng năng lượng tái tạo sẽ được Chính phủ quy định trong tiêu chuẩn, quy chuẩn để bảo đảm tính linh hoạt và khả thi.Chỉnh</w:t>
            </w:r>
            <w:r w:rsidR="00B06C74"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lý</w:t>
            </w:r>
            <w:r w:rsidR="00B06C74"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khoản 4 điều 4</w:t>
            </w:r>
          </w:p>
          <w:p w14:paraId="1050E17E" w14:textId="16872CDE" w:rsidR="00B30308"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4. Thúc đẩy đổi mới sáng tạo gắn với phát triển xanh, bao trùm và bền vững; khuyến khích phát triển và ứng dụng các công nghệ trí tuệ nhân tạo theo hướng sử dụng hiệu quả năng lượng, tiết kiệm tài nguyên và giảm tác động đến môi trường.</w:t>
            </w:r>
          </w:p>
        </w:tc>
      </w:tr>
      <w:tr w:rsidR="00B30308" w:rsidRPr="00EE706C" w14:paraId="474579DC"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447A995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21</w:t>
            </w:r>
          </w:p>
        </w:tc>
        <w:tc>
          <w:tcPr>
            <w:tcW w:w="2548" w:type="dxa"/>
            <w:tcBorders>
              <w:top w:val="nil"/>
              <w:left w:val="nil"/>
              <w:bottom w:val="single" w:sz="4" w:space="0" w:color="auto"/>
              <w:right w:val="single" w:sz="4" w:space="0" w:color="auto"/>
            </w:tcBorders>
            <w:hideMark/>
          </w:tcPr>
          <w:p w14:paraId="2E5A25F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Lưu Bá Mạc</w:t>
            </w:r>
          </w:p>
        </w:tc>
        <w:tc>
          <w:tcPr>
            <w:tcW w:w="4394" w:type="dxa"/>
            <w:tcBorders>
              <w:top w:val="nil"/>
              <w:left w:val="nil"/>
              <w:bottom w:val="single" w:sz="4" w:space="0" w:color="auto"/>
              <w:right w:val="single" w:sz="4" w:space="0" w:color="auto"/>
            </w:tcBorders>
            <w:hideMark/>
          </w:tcPr>
          <w:p w14:paraId="2B0DDD83"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Bổ sung chính sách hỗ trợ AI xanh để khuyến khích các doanh nghiệp công nghệ. Đại biểu mong muốn có chính sách về "hỗ trợ, khuyến khích các doanh nghiệp công nghệ phát triển trí tuệ nhân tạo xanh, hạ tầng trí tuệ nhân tạo xanh cũng như các sản phẩm trí tuệ nhân tạo xanh".</w:t>
            </w:r>
          </w:p>
          <w:p w14:paraId="536FD391" w14:textId="775C4D49"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bổ sung thêm vào khoản 3 Điều 15 nội dung về việc Chính phủ quy định các chính sách hỗ trợ, khuyến khích các doanh nghiệp phát triển AI xanh và hạ tầng AI xanh.</w:t>
            </w:r>
          </w:p>
        </w:tc>
        <w:tc>
          <w:tcPr>
            <w:tcW w:w="7087" w:type="dxa"/>
            <w:tcBorders>
              <w:top w:val="nil"/>
              <w:left w:val="nil"/>
              <w:bottom w:val="single" w:sz="4" w:space="0" w:color="auto"/>
              <w:right w:val="single" w:sz="4" w:space="0" w:color="auto"/>
            </w:tcBorders>
            <w:hideMark/>
          </w:tcPr>
          <w:p w14:paraId="0414432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thống nhất với đề xuất của Đại biểu về việc khuyến khích phát triển AI xanh và đã chỉnh lý khoản 4 Điều 4 để thể hiện rõ nguyên tắc phát triển và ứng dụng trí tuệ nhân tạo gắn với sử dụng hiệu quả năng lượng, tài nguyên và giảm tác động đến môi trường. Về hạ tầng AI xanh, nội dung Đại biểu kiến nghị không phù hợp để đưa vào khoản 3 Điều 15, vì Điều 15 điều chỉnh Hạ tầng trí tuệ nhân tạo quốc gia, tập trung vào nhiệm vụ đầu tư, kết nối và chia sẻ hạ tầng. Các chính sách khuyến khích phát triển hạ tầng AI xanh được triển khai thông qua thẩm quyền của Chính phủ tại khoản 6 Điều 15 (cơ chế điều phối, ưu đãi và thúc đẩy hạ tầng), cũng như trong các chính sách chung tại Điều 5 và các tiêu chuẩn, quy chuẩn kỹ thuật theo Điều 32. Thiết kế này bảo đảm tiếp thu định hướng “hạ tầng AI xanh” nhưng vẫn giữ đúng phạm vi Điều 15 và tránh trùng lặp với các điều khoản chính sách của Luật.</w:t>
            </w:r>
          </w:p>
        </w:tc>
      </w:tr>
      <w:tr w:rsidR="00B30308" w:rsidRPr="00EE706C" w14:paraId="0E43769B" w14:textId="77777777" w:rsidTr="00B06C74">
        <w:trPr>
          <w:trHeight w:val="1966"/>
        </w:trPr>
        <w:tc>
          <w:tcPr>
            <w:tcW w:w="708" w:type="dxa"/>
            <w:tcBorders>
              <w:top w:val="nil"/>
              <w:left w:val="single" w:sz="4" w:space="0" w:color="auto"/>
              <w:bottom w:val="single" w:sz="4" w:space="0" w:color="auto"/>
              <w:right w:val="single" w:sz="4" w:space="0" w:color="auto"/>
            </w:tcBorders>
            <w:hideMark/>
          </w:tcPr>
          <w:p w14:paraId="4F60D11A"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22</w:t>
            </w:r>
          </w:p>
        </w:tc>
        <w:tc>
          <w:tcPr>
            <w:tcW w:w="2548" w:type="dxa"/>
            <w:tcBorders>
              <w:top w:val="nil"/>
              <w:left w:val="nil"/>
              <w:bottom w:val="single" w:sz="4" w:space="0" w:color="auto"/>
              <w:right w:val="single" w:sz="4" w:space="0" w:color="auto"/>
            </w:tcBorders>
            <w:hideMark/>
          </w:tcPr>
          <w:p w14:paraId="5042A6A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Lưu Bá Mạc</w:t>
            </w:r>
          </w:p>
        </w:tc>
        <w:tc>
          <w:tcPr>
            <w:tcW w:w="4394" w:type="dxa"/>
            <w:tcBorders>
              <w:top w:val="nil"/>
              <w:left w:val="nil"/>
              <w:bottom w:val="single" w:sz="4" w:space="0" w:color="auto"/>
              <w:right w:val="single" w:sz="4" w:space="0" w:color="auto"/>
            </w:tcBorders>
            <w:hideMark/>
          </w:tcPr>
          <w:p w14:paraId="41EF432A"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Nội dung góp ý chính: Làm rõ Cơ sở dữ liệu phục vụ AI để đảm bảo yếu tố tri thức và bản sắc văn hóa Việt. Ý kiến nhấn mạnh cần làm rõ CSDL phục vụ AI "vừa đảm bảo có đủ tri thức khoa học của nhân loại, vừa đảm bảo có đầy đủ các tri thức cũng như bản sắc văn hóa của người Việt". Mục đích là để tạo ra "những công cụ trí tuệ nhân tạo của Việt Nam, vừa cạnh tranh được với các công cụ trí tuệ của nước ngoài, vừa mang bản </w:t>
            </w:r>
            <w:r w:rsidRPr="00AA4A03">
              <w:rPr>
                <w:rFonts w:ascii="Times New Roman" w:eastAsia="Times New Roman" w:hAnsi="Times New Roman" w:cs="Times New Roman"/>
                <w:color w:val="000000"/>
                <w:kern w:val="0"/>
                <w:sz w:val="26"/>
                <w:szCs w:val="26"/>
                <w:lang w:val="vi-VN"/>
                <w14:ligatures w14:val="none"/>
              </w:rPr>
              <w:lastRenderedPageBreak/>
              <w:t>sắc Việt Nam, được người Việt ưu tiên sử dụng và thích sử dụng".</w:t>
            </w:r>
          </w:p>
          <w:p w14:paraId="2800A7E5" w14:textId="308037F3"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cân nhắc bổ sung thêm quy định để làm rõ về cơ sở dữ liệu phục vụ trí tuệ nhân tạo, đặc biệt là tri thức và bản sắc văn hóa Việt.</w:t>
            </w:r>
          </w:p>
        </w:tc>
        <w:tc>
          <w:tcPr>
            <w:tcW w:w="7087" w:type="dxa"/>
            <w:tcBorders>
              <w:top w:val="nil"/>
              <w:left w:val="nil"/>
              <w:bottom w:val="single" w:sz="4" w:space="0" w:color="auto"/>
              <w:right w:val="single" w:sz="4" w:space="0" w:color="auto"/>
            </w:tcBorders>
            <w:hideMark/>
          </w:tcPr>
          <w:p w14:paraId="3C35B16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Ban soạn thảo xin báo cáo như sau: Ban soạn thảo nhất trí với đề xuất của Đại biểu về việc bảo đảm cơ sở dữ liệu phục vụ trí tuệ nhân tạo phải phản ánh đầy đủ tri thức và bản sắc văn hóa Việt Nam. Dự thảo Luật đã quy định rõ nội dung này tại Điều 17, yêu cầu phát triển mô hình ngôn ngữ lớn tiếng Việt và tiếng dân tộc “dựa trên nguồn dữ liệu chuẩn hóa, đa dạng, đại diện cho người Việt Nam”, qua đó tạo cơ sở pháp lý để xây dựng và khai thác cơ sở dữ liệu mang đặc trưng văn hóa Việt. Đồng thời, khoản 1 Điều 16 yêu cầu mọi dữ liệu sử dụng cho AI phải hợp pháp, chính xác và tuân thủ pháp luật về dữ liệu. Các nội dung chi tiết như chuẩn hóa dữ liệu văn hóa, xây dựng kho tri thức Việt Nam hoặc cơ chế </w:t>
            </w:r>
            <w:r w:rsidRPr="00AA4A03">
              <w:rPr>
                <w:rFonts w:ascii="Times New Roman" w:eastAsia="Times New Roman" w:hAnsi="Times New Roman" w:cs="Times New Roman"/>
                <w:color w:val="000000"/>
                <w:kern w:val="0"/>
                <w:sz w:val="26"/>
                <w:szCs w:val="26"/>
                <w:lang w:val="vi-VN"/>
                <w14:ligatures w14:val="none"/>
              </w:rPr>
              <w:lastRenderedPageBreak/>
              <w:t>chia sẻ dữ liệu sẽ được Chính phủ hướng dẫn theo khoản 6 Điều 16, nhằm bảo đảm tính linh hoạt và phù hợp với yêu cầu thực tiễn.</w:t>
            </w:r>
          </w:p>
        </w:tc>
      </w:tr>
      <w:tr w:rsidR="00B30308" w:rsidRPr="00EE706C" w14:paraId="148CA81E"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4D29DFCA"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23</w:t>
            </w:r>
          </w:p>
        </w:tc>
        <w:tc>
          <w:tcPr>
            <w:tcW w:w="2548" w:type="dxa"/>
            <w:tcBorders>
              <w:top w:val="nil"/>
              <w:left w:val="nil"/>
              <w:bottom w:val="single" w:sz="4" w:space="0" w:color="auto"/>
              <w:right w:val="single" w:sz="4" w:space="0" w:color="auto"/>
            </w:tcBorders>
            <w:hideMark/>
          </w:tcPr>
          <w:p w14:paraId="5A7B2D2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Lưu Bá Mạc</w:t>
            </w:r>
          </w:p>
        </w:tc>
        <w:tc>
          <w:tcPr>
            <w:tcW w:w="4394" w:type="dxa"/>
            <w:tcBorders>
              <w:top w:val="nil"/>
              <w:left w:val="nil"/>
              <w:bottom w:val="single" w:sz="4" w:space="0" w:color="auto"/>
              <w:right w:val="single" w:sz="4" w:space="0" w:color="auto"/>
            </w:tcBorders>
            <w:hideMark/>
          </w:tcPr>
          <w:p w14:paraId="674448A0"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Bổ sung hành vi bị cấm liên quan đến việc tạo ra các thông tin nguy hiểm. Đại biểu đề xuất bổ sung thêm trường hợp cấm là "cấm cung cấp hoặc công khai mô hình có khả năng tạo ra thông tin được hỗ trợ sản xuất chất độc, chất bị kiểm soát hoặc tác nhân sinh học nguy hiểm".</w:t>
            </w:r>
          </w:p>
          <w:p w14:paraId="4280637F" w14:textId="5C37E475"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bổ sung thêm một trường hợp cấm vào Điều về các hành vi bị cấm.</w:t>
            </w:r>
          </w:p>
        </w:tc>
        <w:tc>
          <w:tcPr>
            <w:tcW w:w="7087" w:type="dxa"/>
            <w:tcBorders>
              <w:top w:val="nil"/>
              <w:left w:val="nil"/>
              <w:bottom w:val="single" w:sz="4" w:space="0" w:color="auto"/>
              <w:right w:val="single" w:sz="4" w:space="0" w:color="auto"/>
            </w:tcBorders>
            <w:hideMark/>
          </w:tcPr>
          <w:p w14:paraId="5275E4A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Cơ quan chủ trì soạn thảo đồng chia sẻ lo ngại về nguy cơ lợi dụng hệ thống trí tuệ nhân tạo để tạo ra thông tin hỗ trợ sản xuất chất độc, chất bị kiểm soát hoặc tác nhân sinh học nguy hiểm. Tuy nhiên, Điều 6 của Dự thảo Luật đã bao quát đầy đủ nhóm hành vi này, cụ thể: điểm a khoản 2 Điều 6 cấm thiết kế, phát triển, triển khai hoặc sử dụng hệ thống AI nhằm thực hiện hành vi bị pháp luật nghiêm cấm; điểm d khoản 2 Điều 6 cấm tạo hoặc phổ biến nội dung giả mạo có khả năng gây nguy hại nghiêm trọng đến an ninh, trật tự, an toàn xã hội; và khoản 7 Điều 6 tiếp tục khẳng định các hành vi bị cấm khác theo pháp luật chuyên ngành, bao gồm lĩnh vực hóa chất và an toàn sinh học. Việc bổ sung thêm một hành vi cấm riêng trong Điều 6 có thể dẫn đến trùng lặp và làm giảm tính khái quát, ổn định của điều luật, đồng thời tạo nguy cơ chồng chéo với hệ thống pháp luật chuyên ngành. Do đó, Ban soạn thảo đề xuất giữ nguyên cấu trúc Điều 6; các nội dung liên quan đến tiêu chí kỹ thuật và cơ chế kiểm soát mô hình trong lĩnh vực hóa – sinh sẽ được quy định chi tiết trong văn bản dưới luật để bảo đảm tính khả thi và phù hợp với đặc thù kỹ thuật cũa lĩnh vực này.</w:t>
            </w:r>
          </w:p>
        </w:tc>
      </w:tr>
      <w:tr w:rsidR="00B30308" w:rsidRPr="00EE706C" w14:paraId="637756DA"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731A465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24</w:t>
            </w:r>
          </w:p>
        </w:tc>
        <w:tc>
          <w:tcPr>
            <w:tcW w:w="2548" w:type="dxa"/>
            <w:tcBorders>
              <w:top w:val="nil"/>
              <w:left w:val="nil"/>
              <w:bottom w:val="single" w:sz="4" w:space="0" w:color="auto"/>
              <w:right w:val="single" w:sz="4" w:space="0" w:color="auto"/>
            </w:tcBorders>
            <w:hideMark/>
          </w:tcPr>
          <w:p w14:paraId="520A31D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3436C9FA"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Chiến lược quốc gia về trí tuệ nhân tạo cần có hệ thống mục tiêu, định lượng rõ ràng chứ không chỉ nêu định hướng.</w:t>
            </w:r>
          </w:p>
          <w:p w14:paraId="6C2770E7" w14:textId="60EE621D"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Kiến nghị quy định các chỉ số đo lường hiệu quả chiến lược ngay trong luật để đảm bảo tính ràng buộc. Các chỉ số bao gồm mức độ tự chủ công nghệ, tỷ lệ doanh nghiệp ứng dụng, năng lực đào tạo nhân lực chất lượng cao, năng lực điện toán quốc gia, mức độ làm chủ kho dữ liệu trong nước.</w:t>
            </w:r>
          </w:p>
        </w:tc>
        <w:tc>
          <w:tcPr>
            <w:tcW w:w="7087" w:type="dxa"/>
            <w:tcBorders>
              <w:top w:val="nil"/>
              <w:left w:val="nil"/>
              <w:bottom w:val="single" w:sz="4" w:space="0" w:color="auto"/>
              <w:right w:val="single" w:sz="4" w:space="0" w:color="auto"/>
            </w:tcBorders>
            <w:hideMark/>
          </w:tcPr>
          <w:p w14:paraId="40233FA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về sự cần thiết của các chỉ số đo lường hiệu quả, Dự thảo Luật đã quy định tại khoản 5 Điều 18 rằng Chiến lược phải quy định hệ thống chỉ tiêu, phương pháp và cơ chế đo lường. Các chỉ số chi tiết liên quan đến mức độ tự chủ công nghệ, năng lực điện toán quốc gia hay tỷ lệ doanh nghiệp ứng dụng là những nội dung mang tính kỹ thuật, sẽ được Chính phủ hướng dẫn chi tiết trong Chiến lược và các văn bản dưới luật để đảm bảo tính linh hoạt và khả thi trong điều chỉnh. Tuy nhiên, các nội dung này đã được định hướng trong Chiến lược, bao gồm các định hướng về phát triển công nghệ, hạ tầng, dữ liệu và nhân lực (khoản 3 Điều 18). Đặc biệt, Điều 17 của Dự thảo Luật đã quy định về Làm chủ công nghệ trí tuệ nhân tạo nhằm tăng cường tự chủ công nghệ và chủ quyền số quốc gia.</w:t>
            </w:r>
          </w:p>
        </w:tc>
      </w:tr>
      <w:tr w:rsidR="00B30308" w:rsidRPr="00EE706C" w14:paraId="53932C55" w14:textId="77777777" w:rsidTr="00AA4A03">
        <w:trPr>
          <w:trHeight w:val="2304"/>
        </w:trPr>
        <w:tc>
          <w:tcPr>
            <w:tcW w:w="708" w:type="dxa"/>
            <w:tcBorders>
              <w:top w:val="nil"/>
              <w:left w:val="single" w:sz="4" w:space="0" w:color="auto"/>
              <w:bottom w:val="single" w:sz="4" w:space="0" w:color="auto"/>
              <w:right w:val="single" w:sz="4" w:space="0" w:color="auto"/>
            </w:tcBorders>
            <w:hideMark/>
          </w:tcPr>
          <w:p w14:paraId="744BD13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25</w:t>
            </w:r>
          </w:p>
        </w:tc>
        <w:tc>
          <w:tcPr>
            <w:tcW w:w="2548" w:type="dxa"/>
            <w:tcBorders>
              <w:top w:val="nil"/>
              <w:left w:val="nil"/>
              <w:bottom w:val="single" w:sz="4" w:space="0" w:color="auto"/>
              <w:right w:val="single" w:sz="4" w:space="0" w:color="auto"/>
            </w:tcBorders>
            <w:hideMark/>
          </w:tcPr>
          <w:p w14:paraId="1BA5608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348032FD"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bổ sung cơ chế đánh giá độc lập hoặc đánh giá liên ngành đối với việc rà soát Chiến lược quốc gia về AI.</w:t>
            </w:r>
          </w:p>
          <w:p w14:paraId="3273F9B9" w14:textId="5C90A7BF"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bổ sung cơ chế đánh giá có sự tham gia của tổ chức xã hội nghề nghiệp và chuyên gia độc lập, vì lĩnh vực trí tuệ nhân tạo biến đổi rất nhanh, việc đánh giá chỉ do cơ quan xây dựng chiến lược thực hiện có thể dẫn tới góc nhìn chưa toàn diện.</w:t>
            </w:r>
          </w:p>
        </w:tc>
        <w:tc>
          <w:tcPr>
            <w:tcW w:w="7087" w:type="dxa"/>
            <w:tcBorders>
              <w:top w:val="nil"/>
              <w:left w:val="nil"/>
              <w:bottom w:val="single" w:sz="4" w:space="0" w:color="auto"/>
              <w:right w:val="single" w:sz="4" w:space="0" w:color="auto"/>
            </w:tcBorders>
            <w:hideMark/>
          </w:tcPr>
          <w:p w14:paraId="2640054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Ban soạn thảo xin báo cáo: Ý kiến của Đại biểu Quốc hội về yêu cầu có cơ chế đánh giá độc lập, liên ngành đối với Chiến lược Quốc gia về AI là xác đáng. Tuy nhiên, Dự thảo Luật AI không điều chỉnh nội dung đánh giá chiến lược, vì việc xây dựng, rà soát và đánh giá Chiến lược thuộc thẩm quyền của Chính phủ theo Luật Ban hành văn bản quy phạm pháp luật và quy định về công tác chiến lược, quy hoạch. Để bảo đảm linh hoạt, Luật chỉ quy định nguyên tắc định hướng, chính sách và nhiệm vụ của Nhà nước (Điều 5), còn cơ chế đánh giá độc lập, liên ngành — bao gồm tham gia của tổ chức xã hội nghề nghiệp, viện nghiên cứu, chuyên gia độc lập — sẽ được Chính phủ quy định cụ thể khi ban hành hoặc điều chỉnh Chiến lược Quốc gia về AI. Thiết kế này bảo đảm vừa </w:t>
            </w:r>
            <w:r w:rsidRPr="00AA4A03">
              <w:rPr>
                <w:rFonts w:ascii="Times New Roman" w:eastAsia="Times New Roman" w:hAnsi="Times New Roman" w:cs="Times New Roman"/>
                <w:color w:val="000000"/>
                <w:kern w:val="0"/>
                <w:sz w:val="26"/>
                <w:szCs w:val="26"/>
                <w:lang w:val="vi-VN"/>
                <w14:ligatures w14:val="none"/>
              </w:rPr>
              <w:lastRenderedPageBreak/>
              <w:t>tiếp thu tinh thần của Đại biểu, vừa giữ đúng phạm vi điều chỉnh của Luật.</w:t>
            </w:r>
          </w:p>
        </w:tc>
      </w:tr>
      <w:tr w:rsidR="00B30308" w:rsidRPr="00EE706C" w14:paraId="0ACE767A"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50189F75"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26</w:t>
            </w:r>
          </w:p>
        </w:tc>
        <w:tc>
          <w:tcPr>
            <w:tcW w:w="2548" w:type="dxa"/>
            <w:tcBorders>
              <w:top w:val="nil"/>
              <w:left w:val="nil"/>
              <w:bottom w:val="single" w:sz="4" w:space="0" w:color="auto"/>
              <w:right w:val="single" w:sz="4" w:space="0" w:color="auto"/>
            </w:tcBorders>
            <w:hideMark/>
          </w:tcPr>
          <w:p w14:paraId="5BAA188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277BE8C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nhấn mạnh và bổ sung tiêu chí lựa chọn các nhóm công nghệ AI đặc thù của Việt Nam.</w:t>
            </w:r>
            <w:r w:rsidRPr="00AA4A03">
              <w:rPr>
                <w:rFonts w:ascii="Times New Roman" w:eastAsia="Times New Roman" w:hAnsi="Times New Roman" w:cs="Times New Roman"/>
                <w:color w:val="000000"/>
                <w:kern w:val="0"/>
                <w:sz w:val="26"/>
                <w:szCs w:val="26"/>
                <w:lang w:val="vi-VN"/>
                <w14:ligatures w14:val="none"/>
              </w:rPr>
              <w:br/>
              <w:t>Đề xuất, kiến nghị: Đề nghị bổ sung tiêu chí lựa chọn các nhóm công nghệ ưu tiên: mức độ phù hợp với điều kiện quốc gia, khả năng ứng dụng rộng rãi và mức độ đóng góp vào chủ quyền số. Nhấn mạnh vào nhóm công nghệ mang tính bản sắc Việt Nam như "trí tuệ nhân tạo tiết kiệm tài nguyên; trí tuệ nhân tạo ngôn ngữ và tri thức Việt Nam".</w:t>
            </w:r>
          </w:p>
        </w:tc>
        <w:tc>
          <w:tcPr>
            <w:tcW w:w="7087" w:type="dxa"/>
            <w:tcBorders>
              <w:top w:val="nil"/>
              <w:left w:val="nil"/>
              <w:bottom w:val="single" w:sz="4" w:space="0" w:color="auto"/>
              <w:right w:val="single" w:sz="4" w:space="0" w:color="auto"/>
            </w:tcBorders>
            <w:hideMark/>
          </w:tcPr>
          <w:p w14:paraId="579D1BA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Dự thảo Luật AI đã tiếp cận theo hướng định hướng chiến lược, không liệt kê danh mục công nghệ cụ thể trong Luật để bảo đảm tính mở và khả năng thích ứng với sự thay đổi nhanh của công nghệ. Các tiêu chí mà Đại biểu đề nghị (phù hợp điều kiện quốc gia, khả năng ứng dụng rộng, đóng góp cho chủ quyền số) đã được cụ thể hóa trong các chính sách tại khoản 3 và khoản 4 Điều 5 và trong Điều 17 về phát triển mô hình ngôn ngữ lớn tiếng Việt và tiếng dân tộc, nhấn mạnh đặc thù và bản sắc Việt Nam. Các nhóm công nghệ ưu tiên sẽ được xác định trong Chiến lược Quốc gia về AI và các chương trình, đề án do Chính phủ ban hành, là cấp văn bản phù hợp để điều chỉnh tiêu chí chi tiết và cập nhật theo từng giai đoạn. Cách thiết kế này bảo đảm vừa tiếp thu tinh thần đề xuất của Đại biểu, vừa giữ Luật ở mức ổn định và bao trùm.</w:t>
            </w:r>
          </w:p>
        </w:tc>
      </w:tr>
      <w:tr w:rsidR="00B30308" w:rsidRPr="00EE706C" w14:paraId="36A8B5E5"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2DA3D36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27</w:t>
            </w:r>
          </w:p>
        </w:tc>
        <w:tc>
          <w:tcPr>
            <w:tcW w:w="2548" w:type="dxa"/>
            <w:tcBorders>
              <w:top w:val="nil"/>
              <w:left w:val="nil"/>
              <w:bottom w:val="single" w:sz="4" w:space="0" w:color="auto"/>
              <w:right w:val="single" w:sz="4" w:space="0" w:color="auto"/>
            </w:tcBorders>
            <w:hideMark/>
          </w:tcPr>
          <w:p w14:paraId="00F2E3C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0119015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Chính sách phát triển hệ sinh thái và thị trường AI tại Điều 21 (Dự thảo cũ) hiện còn thiên về dẫn chiếu sang các luật khác, khiến chính sách dễ bị dàn trải và khó triển khai.</w:t>
            </w:r>
            <w:r w:rsidRPr="00AA4A03">
              <w:rPr>
                <w:rFonts w:ascii="Times New Roman" w:eastAsia="Times New Roman" w:hAnsi="Times New Roman" w:cs="Times New Roman"/>
                <w:color w:val="000000"/>
                <w:kern w:val="0"/>
                <w:sz w:val="26"/>
                <w:szCs w:val="26"/>
                <w:lang w:val="vi-VN"/>
                <w14:ligatures w14:val="none"/>
              </w:rPr>
              <w:br/>
              <w:t>Đề xuất, kiến nghị: Kiến nghị quy định ngay trong luật 3 nhóm ưu đãi đặc thù do chi phí điện toán, dữ liệu, huấn luyện mô hình rất lớn, bao gồm: hỗ trợ chi phí điện toán trong nước, hỗ trợ chi phí huấn luyện mô hình và ưu đãi thuế dựa trên mức độ làm chủ công nghệ.</w:t>
            </w:r>
          </w:p>
        </w:tc>
        <w:tc>
          <w:tcPr>
            <w:tcW w:w="7087" w:type="dxa"/>
            <w:tcBorders>
              <w:top w:val="nil"/>
              <w:left w:val="nil"/>
              <w:bottom w:val="single" w:sz="4" w:space="0" w:color="auto"/>
              <w:right w:val="single" w:sz="4" w:space="0" w:color="auto"/>
            </w:tcBorders>
            <w:hideMark/>
          </w:tcPr>
          <w:p w14:paraId="37553B5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Dự thảo Luật đã thiết lập các cơ chế ưu đãi đặc thù và hỗ trợ chi phí lớn tại Điều 19 và Điều 24, thay vì chỉ dẫn chiếu sang các luật khác. Cụ thể, các ưu đãi về tài chính, thuế, tín dụng, và đầu tư đã được quy định tại Điều 19 khoản 2 mục d. Đồng thời, Điều 24 quy định chi tiết việc hỗ trợ doanh nghiệp thông qua phiếu hỗ trợ (voucher) để sử dụng hạ tầng tính toán, bộ dữ liệu dùng chung, nền tảng huấn luyện và dịch vụ tư vấn kỹ thuật, qua đó hỗ trợ trực tiếp cho các chi phí điện toán và huấn luyện mô hình lớn. Điều 19 khoản 1 cũng khẳng định tổ chức, cá nhân hoạt động trong lĩnh vực AI được hưởng ưu đãi và hỗ trợ cao nhất theo quy định của pháp luật về khoa học và công nghệ, đầu tư, công nghiệp công nghệ số và pháp luật có liên quan. Việc quy định chi tiết mức ưu đãi cụ thể (như mức thuế, tỷ lệ hỗ trợ chi phí) thuộc phạm vi của Nghị định hướng dẫn thi hành (căn cứ Điều 19 khoản 6) hoặc phải tuân thủ Luật Thuế, Luật Đầu tư chuyên ngành. Cách thiết kế này bảo đảm khung chính sách kiến tạo phát triển được quy định rõ trong Luật, đồng thời giữ tính linh hoạt cho Chính phủ trong việc điều chỉnh chi tiết theo thực tiễn công nghệ thay đổi nhanh.</w:t>
            </w:r>
          </w:p>
        </w:tc>
      </w:tr>
      <w:tr w:rsidR="00B30308" w:rsidRPr="00EE706C" w14:paraId="5213EE3C"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0156E45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28</w:t>
            </w:r>
          </w:p>
        </w:tc>
        <w:tc>
          <w:tcPr>
            <w:tcW w:w="2548" w:type="dxa"/>
            <w:tcBorders>
              <w:top w:val="nil"/>
              <w:left w:val="nil"/>
              <w:bottom w:val="single" w:sz="4" w:space="0" w:color="auto"/>
              <w:right w:val="single" w:sz="4" w:space="0" w:color="auto"/>
            </w:tcBorders>
            <w:hideMark/>
          </w:tcPr>
          <w:p w14:paraId="7D81ADE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72F92C6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Sàn giao dịch công nghệ (khoản 2) cần có chuẩn tối thiểu và cơ chế kiểm định thuật toán.</w:t>
            </w:r>
            <w:r w:rsidRPr="00AA4A03">
              <w:rPr>
                <w:rFonts w:ascii="Times New Roman" w:eastAsia="Times New Roman" w:hAnsi="Times New Roman" w:cs="Times New Roman"/>
                <w:color w:val="000000"/>
                <w:kern w:val="0"/>
                <w:sz w:val="26"/>
                <w:szCs w:val="26"/>
                <w:lang w:val="vi-VN"/>
                <w14:ligatures w14:val="none"/>
              </w:rPr>
              <w:br/>
              <w:t>Đề xuất, kiến nghị: Đề nghị luật phải đặt ra các yêu cầu tối thiểu như "bộ chuẩn mô tả công nghệ, không có cơ chế kiểm định thuật toán trước khi chào bán" để tránh tình trạng sàn giao dịch chỉ tồn tại về hình thức.</w:t>
            </w:r>
          </w:p>
        </w:tc>
        <w:tc>
          <w:tcPr>
            <w:tcW w:w="7087" w:type="dxa"/>
            <w:tcBorders>
              <w:top w:val="nil"/>
              <w:left w:val="nil"/>
              <w:bottom w:val="single" w:sz="4" w:space="0" w:color="auto"/>
              <w:right w:val="single" w:sz="4" w:space="0" w:color="auto"/>
            </w:tcBorders>
            <w:hideMark/>
          </w:tcPr>
          <w:p w14:paraId="5C29DE6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Việc phát triển sàn giao dịch, chợ công nghệ là một trong những chính sách quan trọng nhằm thúc đẩy thị trường AI, được quy định tại Điều 19 khoản 2 mục b. Việc yêu cầu các sàn giao dịch phải có chuẩn tối thiểu về mô tả công nghệ và bảo đảm chất lượng sản phẩm AI trước khi chào bán là hoàn toàn xác đáng nhằm tăng tính minh bạch và tin cậy của thị trường. Dự thảo Luật đã quy định tại Điều 19 khoản 6 giao Chính phủ quy định chi tiết cơ chế, điều kiện và quy trình thực hiện các chính sách phát triển hệ sinh thái và thị trường trí tuệ nhân tạo. Các yêu cầu cụ thể về tiêu chuẩn kỹ thuật đối với sản phẩm/dịch vụ AI đưa lên sàn giao dịch, bao gồm các chuẩn tối thiểu về mô tả công nghệ và cơ chế kiểm định độc lập (nếu cần thiết đối với AI rủi ro cao), sẽ được Chính phủ hướng dẫn chi tiết trong Nghị định, dựa trên nguyên tắc an toàn, minh bạch và trách nhiệm giải trình quy định tại Chương II (Điều 7 – 14).</w:t>
            </w:r>
          </w:p>
        </w:tc>
      </w:tr>
      <w:tr w:rsidR="00B30308" w:rsidRPr="00EE706C" w14:paraId="4554CDF0" w14:textId="77777777" w:rsidTr="00AA4A03">
        <w:trPr>
          <w:trHeight w:val="3744"/>
        </w:trPr>
        <w:tc>
          <w:tcPr>
            <w:tcW w:w="708" w:type="dxa"/>
            <w:tcBorders>
              <w:top w:val="nil"/>
              <w:left w:val="single" w:sz="4" w:space="0" w:color="auto"/>
              <w:bottom w:val="single" w:sz="4" w:space="0" w:color="auto"/>
              <w:right w:val="single" w:sz="4" w:space="0" w:color="auto"/>
            </w:tcBorders>
            <w:hideMark/>
          </w:tcPr>
          <w:p w14:paraId="61A74E0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29</w:t>
            </w:r>
          </w:p>
        </w:tc>
        <w:tc>
          <w:tcPr>
            <w:tcW w:w="2548" w:type="dxa"/>
            <w:tcBorders>
              <w:top w:val="nil"/>
              <w:left w:val="nil"/>
              <w:bottom w:val="single" w:sz="4" w:space="0" w:color="auto"/>
              <w:right w:val="single" w:sz="4" w:space="0" w:color="auto"/>
            </w:tcBorders>
            <w:hideMark/>
          </w:tcPr>
          <w:p w14:paraId="6A68973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2254CEA7"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định hình rõ mô hình thử nghiệm quốc gia, đặc biệt về giới hạn trách nhiệm pháp lý khi thử nghiệm, vì "rủi ro trong thử nghiệm trí tuệ nhân tạo là rủi ro thật".</w:t>
            </w:r>
          </w:p>
          <w:p w14:paraId="497EEA4F" w14:textId="6ED95312" w:rsidR="00B30308"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luật cần định hình rõ mô hình thử nghiệm quốc gia bao gồm cơ quan cấp phép thử nghiệm, phạm vi thử nghiệm, cơ chế giám sát, thời hạn và giới hạn trách nhiệm pháp lý khi doanh nghiệp thực hiện thử nghiệm trong khuôn khổ được cho phép.</w:t>
            </w:r>
          </w:p>
        </w:tc>
        <w:tc>
          <w:tcPr>
            <w:tcW w:w="7087" w:type="dxa"/>
            <w:tcBorders>
              <w:top w:val="nil"/>
              <w:left w:val="nil"/>
              <w:bottom w:val="single" w:sz="4" w:space="0" w:color="auto"/>
              <w:right w:val="single" w:sz="4" w:space="0" w:color="auto"/>
            </w:tcBorders>
            <w:hideMark/>
          </w:tcPr>
          <w:p w14:paraId="24EFA8C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Cơ chế thử nghiệm có kiểm soát (Sandbox) là một công cụ trọng tâm để thúc đẩy đổi mới sáng tạo, được thể hiện trong chính sách phát triển hệ sinh thái tại Điều 19 khoản 2 mục c (bảo đảm khả năng tiếp cận môi trường thử nghiệm có kiểm soát). Tuy nhiên, cơ chế này đã được quy định chi tiết, toàn diện tại Điều 20 của Dự thảo Luật. Điều 20 đã bao quát đầy đủ các nội dung mà Đại biểu đề nghị: Thẩm quyền cấp phép và giám sát được giao cho Cơ quan quản lý nhà nước về trí tuệ nhân tạo chủ trì, phối hợp với cơ quan có liên quan (Điều 20 khoản 5). Phạm vi, điều kiện, và thời hạn thử nghiệm được quy định tại Điều 20 khoản 1 và khoản 6. Giới hạn trách nhiệm pháp lý (miễn, giảm nghĩa vụ tuân thủ) được quy định rõ tại Điều 20 khoản 2, trừ các quy định về quyền con người, quyền công dân, an ninh quốc gia và lĩnh vực đặc biệt nghiêm ngặt. Ngoài ra, trách nhiệm bồi thường thiệt hại cho bên thứ ba (rủi ro thật) vẫn được quy định tại Điều 28, nhưng tổ chức/cá nhân tham gia thử nghiệm được khuyến khích tham gia bảo hiểm trách nhiệm dân sự hoặc áp dụng biện pháp bảo đảm tài chính khác (Điều 13 khoản 5) để kịp thời khắc phục sự cố. Như vậy, dự thảo Luật đã định hình rõ mô hình thử nghiệm và giới hạn trách nhiệm pháp lý theo đề xuất của Đại biểu.</w:t>
            </w:r>
          </w:p>
        </w:tc>
      </w:tr>
      <w:tr w:rsidR="00B30308" w:rsidRPr="00EE706C" w14:paraId="494950A4"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616D3964"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30</w:t>
            </w:r>
          </w:p>
        </w:tc>
        <w:tc>
          <w:tcPr>
            <w:tcW w:w="2548" w:type="dxa"/>
            <w:tcBorders>
              <w:top w:val="nil"/>
              <w:left w:val="nil"/>
              <w:bottom w:val="single" w:sz="4" w:space="0" w:color="auto"/>
              <w:right w:val="single" w:sz="4" w:space="0" w:color="auto"/>
            </w:tcBorders>
            <w:hideMark/>
          </w:tcPr>
          <w:p w14:paraId="363F9CE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60455268"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có các nguyên tắc quản lý dữ liệu rõ ràng khi khuyến khích khai thác dữ liệu từ Cơ sở dữ liệu quốc gia về AI</w:t>
            </w:r>
          </w:p>
          <w:p w14:paraId="417403A5" w14:textId="31B3F832"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Yêu cầu bổ sung các nguyên tắc quản lý dữ liệu rõ ràng: danh mục dữ liệu được khai thác, quyền và nghĩa vụ của các đơn vị truy cập; quy trình cấp quyền, cơ chế lưu vết, hoạt động truy cập. Điều này nhằm bảo đảm an toàn dữ liệu và trách nhiệm giải trình.</w:t>
            </w:r>
          </w:p>
        </w:tc>
        <w:tc>
          <w:tcPr>
            <w:tcW w:w="7087" w:type="dxa"/>
            <w:tcBorders>
              <w:top w:val="nil"/>
              <w:left w:val="nil"/>
              <w:bottom w:val="single" w:sz="4" w:space="0" w:color="auto"/>
              <w:right w:val="single" w:sz="4" w:space="0" w:color="auto"/>
            </w:tcBorders>
            <w:hideMark/>
          </w:tcPr>
          <w:p w14:paraId="1ABC98B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Dự thảo Luật đã thiết kế đầy đủ nguyên tắc quản lý dữ liệu phục vụ AI tại Điều 16, trong đó quy định: nguyên tắc sử dụng dữ liệu hợp pháp (khoản 1), quản trị vòng đời dữ liệu, bảo đảm an ninh, an toàn và kiểm soát truy cập (khoản 6), và cơ chế chia sẻ – khai thác dữ liệu theo tiêu chuẩn, quy chuẩn và pháp luật về dữ liệu. Việc khai thác Cơ sở dữ liệu quốc gia phục vụ AI không được thực hiện theo cơ chế “mở hoàn toàn”, mà tuân thủ nghiêm các luật hiện hành về dữ liệu, bảo vệ dữ liệu cá nhân, an ninh mạng và các quy định chuyên ngành.</w:t>
            </w:r>
            <w:r w:rsidRPr="00AA4A03">
              <w:rPr>
                <w:rFonts w:ascii="Times New Roman" w:eastAsia="Times New Roman" w:hAnsi="Times New Roman" w:cs="Times New Roman"/>
                <w:color w:val="000000"/>
                <w:kern w:val="0"/>
                <w:sz w:val="26"/>
                <w:szCs w:val="26"/>
                <w:lang w:val="vi-VN"/>
                <w14:ligatures w14:val="none"/>
              </w:rPr>
              <w:br/>
              <w:t>Các nội dung chi tiết mà Đại biểu nêu—như danh mục dữ liệu được khai thác, quyền và nghĩa vụ của đơn vị truy cập, quy trình cấp quyền, lưu vết truy cập, trách nhiệm giải trình—là nội dung quản lý kỹ thuật và theo thẩm quyền sẽ được Chính phủ quy định chi tiết trên cơ sở Điều 16 và pháp luật về dữ liệu. Vì vậy, không bổ sung trực tiếp vào Luật AI để bảo đảm tính ổn định, tránh trùng lặp và bảo đảm thống nhất của hệ thống pháp luật. Thiết kế hiện tại đủ cơ sở pháp lý để Chính phủ ban hành các quy định quản lý dữ liệu phục vụ AI chặt chẽ như đề xuất của Đại biểu.</w:t>
            </w:r>
          </w:p>
        </w:tc>
      </w:tr>
      <w:tr w:rsidR="00B30308" w:rsidRPr="00EE706C" w14:paraId="618A6463" w14:textId="77777777" w:rsidTr="00AA4A03">
        <w:trPr>
          <w:trHeight w:val="1728"/>
        </w:trPr>
        <w:tc>
          <w:tcPr>
            <w:tcW w:w="708" w:type="dxa"/>
            <w:tcBorders>
              <w:top w:val="nil"/>
              <w:left w:val="single" w:sz="4" w:space="0" w:color="auto"/>
              <w:bottom w:val="single" w:sz="4" w:space="0" w:color="auto"/>
              <w:right w:val="single" w:sz="4" w:space="0" w:color="auto"/>
            </w:tcBorders>
            <w:hideMark/>
          </w:tcPr>
          <w:p w14:paraId="1CA7740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31</w:t>
            </w:r>
          </w:p>
        </w:tc>
        <w:tc>
          <w:tcPr>
            <w:tcW w:w="2548" w:type="dxa"/>
            <w:tcBorders>
              <w:top w:val="nil"/>
              <w:left w:val="nil"/>
              <w:bottom w:val="single" w:sz="4" w:space="0" w:color="auto"/>
              <w:right w:val="single" w:sz="4" w:space="0" w:color="auto"/>
            </w:tcBorders>
            <w:hideMark/>
          </w:tcPr>
          <w:p w14:paraId="5F1BF3B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3D1C7387"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Cơ chế thử nghiệm có kiểm soát (Sandbox) cần xác định rõ phạm vi hoạt động được đưa vào thử nghiệm để tránh bị quá tải và mất tính trọng tâm.</w:t>
            </w:r>
          </w:p>
          <w:p w14:paraId="4E61508D" w14:textId="1F23D7D9"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Đề xuất, kiến nghị: Kiến nghị chỉ nên áp dụng cơ chế thử nghiệm đối với các mô hình có nguy cơ cao, tác động lớn đến </w:t>
            </w:r>
            <w:r w:rsidRPr="00AA4A03">
              <w:rPr>
                <w:rFonts w:ascii="Times New Roman" w:eastAsia="Times New Roman" w:hAnsi="Times New Roman" w:cs="Times New Roman"/>
                <w:color w:val="000000"/>
                <w:kern w:val="0"/>
                <w:sz w:val="26"/>
                <w:szCs w:val="26"/>
                <w:lang w:val="vi-VN"/>
                <w14:ligatures w14:val="none"/>
              </w:rPr>
              <w:lastRenderedPageBreak/>
              <w:t>người dân và doanh nghiệp; "không phải mọi giải pháp trí tuệ nhân tạo đều cần đưa vào thử nghiệm".</w:t>
            </w:r>
          </w:p>
        </w:tc>
        <w:tc>
          <w:tcPr>
            <w:tcW w:w="7087" w:type="dxa"/>
            <w:tcBorders>
              <w:top w:val="nil"/>
              <w:left w:val="nil"/>
              <w:bottom w:val="single" w:sz="4" w:space="0" w:color="auto"/>
              <w:right w:val="single" w:sz="4" w:space="0" w:color="auto"/>
            </w:tcBorders>
            <w:hideMark/>
          </w:tcPr>
          <w:p w14:paraId="065C1D5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ý kiến như sau: Giải trình ý kiến của Đại biểu Quốc hội. Ban soạn thảo thống nhất rằng Cơ chế thử nghiệm cần tập trung vào các công nghệ có tính đổi mới cao và tác động lớn đến xã hội. Điều 20 đã xác định thử nghiệm trong phạm vi giới hạn về thời gian, quy mô, điều kiện vận hành. Khoản 6 Điều 20 đã giao Chính phủ quy định chi tiết tiêu chí lựa chọn đối tượng thử nghiệm, cho phép cơ quan quản lý nhà nước xác định rõ các lĩnh vực ưu tiên và các mô hình rủi ro cao cần đưa vào thử </w:t>
            </w:r>
            <w:r w:rsidRPr="00AA4A03">
              <w:rPr>
                <w:rFonts w:ascii="Times New Roman" w:eastAsia="Times New Roman" w:hAnsi="Times New Roman" w:cs="Times New Roman"/>
                <w:color w:val="000000"/>
                <w:kern w:val="0"/>
                <w:sz w:val="26"/>
                <w:szCs w:val="26"/>
                <w:lang w:val="vi-VN"/>
                <w14:ligatures w14:val="none"/>
              </w:rPr>
              <w:lastRenderedPageBreak/>
              <w:t>nghiệm, bảo đảm tính trọng tâm và tránh quá tải, phù hợp với nguyên tắc quản lý AI dựa trên mức độ rủi ro.</w:t>
            </w:r>
          </w:p>
        </w:tc>
      </w:tr>
      <w:tr w:rsidR="00B30308" w:rsidRPr="00EE706C" w14:paraId="38A12A1A" w14:textId="77777777" w:rsidTr="00AA4A03">
        <w:trPr>
          <w:trHeight w:val="2304"/>
        </w:trPr>
        <w:tc>
          <w:tcPr>
            <w:tcW w:w="708" w:type="dxa"/>
            <w:tcBorders>
              <w:top w:val="nil"/>
              <w:left w:val="single" w:sz="4" w:space="0" w:color="auto"/>
              <w:bottom w:val="single" w:sz="4" w:space="0" w:color="auto"/>
              <w:right w:val="single" w:sz="4" w:space="0" w:color="auto"/>
            </w:tcBorders>
            <w:hideMark/>
          </w:tcPr>
          <w:p w14:paraId="153A0CC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32</w:t>
            </w:r>
          </w:p>
        </w:tc>
        <w:tc>
          <w:tcPr>
            <w:tcW w:w="2548" w:type="dxa"/>
            <w:tcBorders>
              <w:top w:val="nil"/>
              <w:left w:val="nil"/>
              <w:bottom w:val="single" w:sz="4" w:space="0" w:color="auto"/>
              <w:right w:val="single" w:sz="4" w:space="0" w:color="auto"/>
            </w:tcBorders>
            <w:hideMark/>
          </w:tcPr>
          <w:p w14:paraId="6F09B7F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111C4B56"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quy định rõ trách nhiệm của doanh nghiệp khi xảy ra rủi ro trong quá trình thử nghiệm.</w:t>
            </w:r>
          </w:p>
          <w:p w14:paraId="62E4427E" w14:textId="27CA25E3"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Luật phải khẳng định "Cơ chế thử nghiệm không phải là miễn trừ trách nhiệm", doanh nghiệp có trách nhiệm cung cấp đầy đủ thông tin, cảnh báo rủi ro, báo cáo định kỳ và xử lý hậu quả khi có sự cố.</w:t>
            </w:r>
          </w:p>
        </w:tc>
        <w:tc>
          <w:tcPr>
            <w:tcW w:w="7087" w:type="dxa"/>
            <w:tcBorders>
              <w:top w:val="nil"/>
              <w:left w:val="nil"/>
              <w:bottom w:val="single" w:sz="4" w:space="0" w:color="auto"/>
              <w:right w:val="single" w:sz="4" w:space="0" w:color="auto"/>
            </w:tcBorders>
            <w:hideMark/>
          </w:tcPr>
          <w:p w14:paraId="69D7D70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Quan điểm "Cơ chế thử nghiệm không phải là miễn trừ trách nhiệm" là nguyên tắc cốt lõi của Luật AI. Điều 28 đã quy định rõ trách nhiệm bồi thường thiệt hại của tổ chức, cá nhân. Về trách nhiệm cụ thể của doanh nghiệp trong quá trình thử nghiệm, khoản 3 Điều 20 đã quy định hoạt động thử nghiệm phải đáp ứng các yêu cầu về: có đánh giá rủi ro và biện pháp quản lý rủi ro, có phương án bảo đảm an toàn, có khả năng tạm dừng thử nghiệm, và thực hiện chế độ báo cáo và chịu sự giám sát theo quy định. Đồng thời, miễn trừ nghĩa vụ tại khoản 2 Điều 20 không áp dụng đối với các quy định về quyền con người, quyền công dân, an ninh quốc gia, qua đó bảo đảm doanh nghiệp luôn phải chịu trách nhiệm về các vấn đề nền tảng.</w:t>
            </w:r>
          </w:p>
        </w:tc>
      </w:tr>
      <w:tr w:rsidR="00B30308" w:rsidRPr="00EE706C" w14:paraId="632DDFF8" w14:textId="77777777" w:rsidTr="00B06C74">
        <w:trPr>
          <w:trHeight w:val="1824"/>
        </w:trPr>
        <w:tc>
          <w:tcPr>
            <w:tcW w:w="708" w:type="dxa"/>
            <w:tcBorders>
              <w:top w:val="nil"/>
              <w:left w:val="single" w:sz="4" w:space="0" w:color="auto"/>
              <w:bottom w:val="single" w:sz="4" w:space="0" w:color="auto"/>
              <w:right w:val="single" w:sz="4" w:space="0" w:color="auto"/>
            </w:tcBorders>
            <w:hideMark/>
          </w:tcPr>
          <w:p w14:paraId="19D8F573"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33</w:t>
            </w:r>
          </w:p>
        </w:tc>
        <w:tc>
          <w:tcPr>
            <w:tcW w:w="2548" w:type="dxa"/>
            <w:tcBorders>
              <w:top w:val="nil"/>
              <w:left w:val="nil"/>
              <w:bottom w:val="single" w:sz="4" w:space="0" w:color="auto"/>
              <w:right w:val="single" w:sz="4" w:space="0" w:color="auto"/>
            </w:tcBorders>
            <w:hideMark/>
          </w:tcPr>
          <w:p w14:paraId="334CF3A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202D1D61"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Phải có thời hạn thử nghiệm cụ thể và cơ chế đánh giá kết thúc rõ ràng.</w:t>
            </w:r>
          </w:p>
          <w:p w14:paraId="2A2B1978" w14:textId="08397AEA"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Đề xuất, kiến nghị: Cần quy định rõ thời hạn thử nghiệm cụ thể để tránh tình trạng kéo dài rồi mặc nhiên trở thành hoạt động chính thức mà không được thẩm </w:t>
            </w:r>
            <w:r w:rsidRPr="00AA4A03">
              <w:rPr>
                <w:rFonts w:ascii="Times New Roman" w:eastAsia="Times New Roman" w:hAnsi="Times New Roman" w:cs="Times New Roman"/>
                <w:color w:val="000000"/>
                <w:kern w:val="0"/>
                <w:sz w:val="26"/>
                <w:szCs w:val="26"/>
                <w:lang w:val="vi-VN"/>
                <w14:ligatures w14:val="none"/>
              </w:rPr>
              <w:lastRenderedPageBreak/>
              <w:t>định. Bổ sung quy định rõ cơ chế đánh giá kết thúc thử nghiệm, tiêu chí chuyển từ thử nghiệm sang chính thức và cơ quan có thẩm quyền quyết định.</w:t>
            </w:r>
          </w:p>
        </w:tc>
        <w:tc>
          <w:tcPr>
            <w:tcW w:w="7087" w:type="dxa"/>
            <w:tcBorders>
              <w:top w:val="nil"/>
              <w:left w:val="nil"/>
              <w:bottom w:val="single" w:sz="4" w:space="0" w:color="auto"/>
              <w:right w:val="single" w:sz="4" w:space="0" w:color="auto"/>
            </w:tcBorders>
            <w:hideMark/>
          </w:tcPr>
          <w:p w14:paraId="527CC9F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ý kiến như sau: Giải trình ý kiến của Đại biểu Quốc hội. Dự thảo Luật đã quy định rõ ràng về các yếu tố kiểm soát. Khoản 1 Điều 20 quy định thử nghiệm phải giới hạn về thời gian, quy mô, điều kiện vận hành. Về cơ chế đánh giá và chuyển đổi, khoản 4 Điều 20 quy định kết quả thử nghiệm là căn cứ để Áp dụng thủ tục rút gọn trong đánh giá sự phù hợp hoặc chấp thuận triển khai chính thức. Để tránh tình trạng kéo dài </w:t>
            </w:r>
            <w:r w:rsidRPr="00AA4A03">
              <w:rPr>
                <w:rFonts w:ascii="Times New Roman" w:eastAsia="Times New Roman" w:hAnsi="Times New Roman" w:cs="Times New Roman"/>
                <w:color w:val="000000"/>
                <w:kern w:val="0"/>
                <w:sz w:val="26"/>
                <w:szCs w:val="26"/>
                <w:lang w:val="vi-VN"/>
                <w14:ligatures w14:val="none"/>
              </w:rPr>
              <w:lastRenderedPageBreak/>
              <w:t>và bảo đảm tính minh bạch, khoản 6 Điều 20 đã giao Chính phủ quy định chi tiết thời hạn thử nghiệm, trình tự, thủ tục, thẩm quyền phê duyệt và cơ chế giám sát và đánh giá thử nghiệm có kiểm soát, đảm bảo các tiêu chí kết thúc và chuyển đổi sang hoạt động chính thức được xác định rõ trong văn bản hướng dẫn.</w:t>
            </w:r>
          </w:p>
        </w:tc>
      </w:tr>
      <w:tr w:rsidR="00B30308" w:rsidRPr="00EE706C" w14:paraId="08161B14"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71F6158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34</w:t>
            </w:r>
          </w:p>
        </w:tc>
        <w:tc>
          <w:tcPr>
            <w:tcW w:w="2548" w:type="dxa"/>
            <w:tcBorders>
              <w:top w:val="nil"/>
              <w:left w:val="nil"/>
              <w:bottom w:val="single" w:sz="4" w:space="0" w:color="auto"/>
              <w:right w:val="single" w:sz="4" w:space="0" w:color="auto"/>
            </w:tcBorders>
            <w:hideMark/>
          </w:tcPr>
          <w:p w14:paraId="08A5574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1CD10338"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làm rõ phạm vi hỗ trợ của Quỹ Phát triển AI Quốc gia, không chỉ hỗ trợ nghiên cứu mà còn phải hỗ trợ ứng dụng, thương mại hóa và đặc biệt là hạ tầng điện toán.</w:t>
            </w:r>
          </w:p>
          <w:p w14:paraId="4A121A48" w14:textId="6234C0B0"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xuất Quỹ cần hỗ trợ cả khâu ứng dụng, thương mại hóa và quan trọng là hỗ trợ hạ tầng điện toán, vì nếu chỉ dừng ở hỗ trợ nghiên cứu thì không đáp ứng nhu cầu cần thiết của doanh nghiệp và các viện, trường.</w:t>
            </w:r>
          </w:p>
        </w:tc>
        <w:tc>
          <w:tcPr>
            <w:tcW w:w="7087" w:type="dxa"/>
            <w:tcBorders>
              <w:top w:val="nil"/>
              <w:left w:val="nil"/>
              <w:bottom w:val="single" w:sz="4" w:space="0" w:color="auto"/>
              <w:right w:val="single" w:sz="4" w:space="0" w:color="auto"/>
            </w:tcBorders>
            <w:hideMark/>
          </w:tcPr>
          <w:p w14:paraId="33870DA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Điều 18 của Dự thảo Luật AI quy định Quỹ Phát triển AI Quốc gia là quỹ tài chính nhà nước ngoài ngân sách, với mục tiêu hỗ trợ nghiên cứu, phát triển, ứng dụng và đổi mới sáng tạo về trí tuệ nhân tạo, không giới hạn ở nghiên cứu cơ bản. Nội dung hỗ trợ bao quát cả phát triển mô hình, giải pháp AI, đào tạo nhân lực, chuyển giao công nghệ và ứng dụng vào thực tiễn. Các nhu cầu mà Đại biểu nêu—thương mại hóa, ứng dụng và đặc biệt là hỗ trợ hạ tầng tính toán—được thiết kế theo hướng giao Chính phủ quy định chi tiết để bảo đảm linh hoạt, phù hợp khả năng cân đối ngân sách từng giai đoạn. Ngoài Quỹ, Điều 15 về Hạ tầng trí tuệ nhân tạo quốc gia cũng quy định Nhà nước trực tiếp đầu tư năng lực tính toán và nền tảng huấn luyện dùng chung, tạo nguồn lực bổ trợ mạnh mẽ cho doanh nghiệp và viện, trường. Do đó, cấu trúc hiện hành của Luật đã đáp ứng mục tiêu hỗ trợ rộng mà Đại biểu đề xuất, đồng thời bảo đảm tính thống nhất của hệ thống pháp luật về ngân sách và tài chính công.</w:t>
            </w:r>
          </w:p>
        </w:tc>
      </w:tr>
      <w:tr w:rsidR="00B30308" w:rsidRPr="00EE706C" w14:paraId="1210C5BF"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53197AE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35</w:t>
            </w:r>
          </w:p>
        </w:tc>
        <w:tc>
          <w:tcPr>
            <w:tcW w:w="2548" w:type="dxa"/>
            <w:tcBorders>
              <w:top w:val="nil"/>
              <w:left w:val="nil"/>
              <w:bottom w:val="single" w:sz="4" w:space="0" w:color="auto"/>
              <w:right w:val="single" w:sz="4" w:space="0" w:color="auto"/>
            </w:tcBorders>
            <w:hideMark/>
          </w:tcPr>
          <w:p w14:paraId="138D937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395F0D0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Quỹ cần có cơ chế giám sát minh bạch, vì hồ sơ dự án AI khó thẩm định theo cách truyền thống.</w:t>
            </w:r>
            <w:r w:rsidRPr="00AA4A03">
              <w:rPr>
                <w:rFonts w:ascii="Times New Roman" w:eastAsia="Times New Roman" w:hAnsi="Times New Roman" w:cs="Times New Roman"/>
                <w:color w:val="000000"/>
                <w:kern w:val="0"/>
                <w:sz w:val="26"/>
                <w:szCs w:val="26"/>
                <w:lang w:val="vi-VN"/>
                <w14:ligatures w14:val="none"/>
              </w:rPr>
              <w:br/>
              <w:t>Đề xuất, kiến nghị: Luật cần yêu cầu quỹ có Hội đồng khoa học độc lập, cơ chế phản biện hai chiều và công khai thông tin hỗ trợ.</w:t>
            </w:r>
          </w:p>
        </w:tc>
        <w:tc>
          <w:tcPr>
            <w:tcW w:w="7087" w:type="dxa"/>
            <w:tcBorders>
              <w:top w:val="nil"/>
              <w:left w:val="nil"/>
              <w:bottom w:val="single" w:sz="4" w:space="0" w:color="auto"/>
              <w:right w:val="single" w:sz="4" w:space="0" w:color="auto"/>
            </w:tcBorders>
            <w:hideMark/>
          </w:tcPr>
          <w:p w14:paraId="0E82B1D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cơ quan soạn thảo thống nhất với yêu cầu quản lý và giám sát chặt chẽ Quỹ, đặc biệt đối với lĩnh vực khoa học công nghệ có tính rủi ro cao và khó thẩm định theo cách truyền thống. Về nguyên tắc hoạt động: Dự thảo Luật quy định Quỹ hoạt động theo nguyên tắc công khai, minh bạch, hiệu quả và đúng mục đích (khoản 4 Điều 21).Về cơ chế quản lý chi tiết: Dự thảo Luật đã giao Chính phủ quy định chi tiết về tổ chức, quản lý, sử dụng và giám sát Quỹ, bao gồm tiêu chí, lĩnh vực và điều kiện hỗ trợ (khoản 5 Điều 21). Quy định này là căn cứ pháp lý đầy đủ để Chính phủ thiết lập các cơ chế kiểm soát nội bộ, giám sát chuyên biệt, Hội đồng thẩm định độc lập và quy trình công khai thông tin hỗ trợ. Việc không quy định cứng các cấu trúc tổ chức (như Hội đồng khoa học độc lập) trong Luật nhằm bảo đảm tính linh hoạt về tổ chức – hành chính, phù hợp với tính chất “luật khung”.</w:t>
            </w:r>
          </w:p>
        </w:tc>
      </w:tr>
      <w:tr w:rsidR="00B30308" w:rsidRPr="00EE706C" w14:paraId="07458A91" w14:textId="77777777" w:rsidTr="00B06C74">
        <w:trPr>
          <w:trHeight w:val="1541"/>
        </w:trPr>
        <w:tc>
          <w:tcPr>
            <w:tcW w:w="708" w:type="dxa"/>
            <w:tcBorders>
              <w:top w:val="nil"/>
              <w:left w:val="single" w:sz="4" w:space="0" w:color="auto"/>
              <w:bottom w:val="single" w:sz="4" w:space="0" w:color="auto"/>
              <w:right w:val="single" w:sz="4" w:space="0" w:color="auto"/>
            </w:tcBorders>
            <w:hideMark/>
          </w:tcPr>
          <w:p w14:paraId="287EFBF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36</w:t>
            </w:r>
          </w:p>
        </w:tc>
        <w:tc>
          <w:tcPr>
            <w:tcW w:w="2548" w:type="dxa"/>
            <w:tcBorders>
              <w:top w:val="nil"/>
              <w:left w:val="nil"/>
              <w:bottom w:val="single" w:sz="4" w:space="0" w:color="auto"/>
              <w:right w:val="single" w:sz="4" w:space="0" w:color="auto"/>
            </w:tcBorders>
            <w:hideMark/>
          </w:tcPr>
          <w:p w14:paraId="2A95FD5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Hoàng Bảo Trân - TP Hồ Chí Minh</w:t>
            </w:r>
          </w:p>
        </w:tc>
        <w:tc>
          <w:tcPr>
            <w:tcW w:w="4394" w:type="dxa"/>
            <w:tcBorders>
              <w:top w:val="nil"/>
              <w:left w:val="nil"/>
              <w:bottom w:val="single" w:sz="4" w:space="0" w:color="auto"/>
              <w:right w:val="single" w:sz="4" w:space="0" w:color="auto"/>
            </w:tcBorders>
            <w:hideMark/>
          </w:tcPr>
          <w:p w14:paraId="7BFA0E08" w14:textId="77777777" w:rsidR="00B06C74"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Nên quy định rõ việc quỹ có quyền hợp tác với doanh nghiệp để đồng đầu tư hoặc hỗ trợ theo kết quả đầu ra.</w:t>
            </w:r>
          </w:p>
          <w:p w14:paraId="5723CF30" w14:textId="4371B358"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xuất cho phép Quỹ đồng đầu tư hoặc hỗ trợ theo kết quả đầu ra để thúc đẩy hiệu quả sử dụng ngân sách và tránh đầu tư dàn trải.</w:t>
            </w:r>
          </w:p>
        </w:tc>
        <w:tc>
          <w:tcPr>
            <w:tcW w:w="7087" w:type="dxa"/>
            <w:tcBorders>
              <w:top w:val="nil"/>
              <w:left w:val="nil"/>
              <w:bottom w:val="single" w:sz="4" w:space="0" w:color="auto"/>
              <w:right w:val="single" w:sz="4" w:space="0" w:color="auto"/>
            </w:tcBorders>
            <w:hideMark/>
          </w:tcPr>
          <w:p w14:paraId="13D0383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Điều 18 của Dự thảo Luật quy định Quỹ Phát triển AI Quốc gia là quỹ tài chính nhà nước ngoài ngân sách, hoạt động theo nguyên tắc linh hoạt, hỗ trợ nhiệm vụ phát triển AI. Các cơ chế như đồng đầu tư với doanh nghiệp, hỗ trợ theo kết quả đầu ra (output-based funding), cơ chế tài trợ cạnh tranh hoặc hợp tác công–tư đều thuộc phương thức vận hành cụ thể của Quỹ và được xác định theo thẩm quyền của Chính phủ, phù hợp pháp luật về quỹ tài chính nhà nước và đầu tư công.</w:t>
            </w:r>
            <w:r w:rsidRPr="00AA4A03">
              <w:rPr>
                <w:rFonts w:ascii="Times New Roman" w:eastAsia="Times New Roman" w:hAnsi="Times New Roman" w:cs="Times New Roman"/>
                <w:color w:val="000000"/>
                <w:kern w:val="0"/>
                <w:sz w:val="26"/>
                <w:szCs w:val="26"/>
                <w:lang w:val="vi-VN"/>
                <w14:ligatures w14:val="none"/>
              </w:rPr>
              <w:br/>
              <w:t xml:space="preserve">Việc không quy định trực tiếp trong Luật là để bảo đảm tính mở, tránh bó cứng mô hình hoạt động của Quỹ và cho phép Chính phủ lựa chọn cơ chế hiệu quả nhất tùy theo từng giai đoạn, từng lĩnh vực công nghệ. Bên cạnh đó, Điều 15 và Điều 24 đã tạo đầy đủ cơ </w:t>
            </w:r>
            <w:r w:rsidRPr="00AA4A03">
              <w:rPr>
                <w:rFonts w:ascii="Times New Roman" w:eastAsia="Times New Roman" w:hAnsi="Times New Roman" w:cs="Times New Roman"/>
                <w:color w:val="000000"/>
                <w:kern w:val="0"/>
                <w:sz w:val="26"/>
                <w:szCs w:val="26"/>
                <w:lang w:val="vi-VN"/>
                <w14:ligatures w14:val="none"/>
              </w:rPr>
              <w:lastRenderedPageBreak/>
              <w:t>sở pháp lý để Chính phủ xây dựng cơ chế khuyến khích doanh nghiệp, trong đó có thể bao gồm đồng tài trợ, chia sẻ chi phí tính toán hoặc hỗ trợ có điều kiện theo kết quả đầu ra. Thiết kế này bảo đảm tính linh hoạt, hiệu quả sử dụng ngân sách và phù hợp với thông lệ quốc tế mà Đại biểu đề xuất.</w:t>
            </w:r>
          </w:p>
        </w:tc>
      </w:tr>
      <w:tr w:rsidR="00B30308" w:rsidRPr="00EE706C" w14:paraId="7C18D133" w14:textId="77777777" w:rsidTr="00AA4A03">
        <w:trPr>
          <w:trHeight w:val="3744"/>
        </w:trPr>
        <w:tc>
          <w:tcPr>
            <w:tcW w:w="708" w:type="dxa"/>
            <w:tcBorders>
              <w:top w:val="nil"/>
              <w:left w:val="single" w:sz="4" w:space="0" w:color="auto"/>
              <w:bottom w:val="single" w:sz="4" w:space="0" w:color="auto"/>
              <w:right w:val="single" w:sz="4" w:space="0" w:color="auto"/>
            </w:tcBorders>
            <w:hideMark/>
          </w:tcPr>
          <w:p w14:paraId="11E192C7"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37</w:t>
            </w:r>
          </w:p>
        </w:tc>
        <w:tc>
          <w:tcPr>
            <w:tcW w:w="2548" w:type="dxa"/>
            <w:tcBorders>
              <w:top w:val="nil"/>
              <w:left w:val="nil"/>
              <w:bottom w:val="single" w:sz="4" w:space="0" w:color="auto"/>
              <w:right w:val="single" w:sz="4" w:space="0" w:color="auto"/>
            </w:tcBorders>
            <w:hideMark/>
          </w:tcPr>
          <w:p w14:paraId="15C8955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Quang Huân - TP Hồ Chí Minh</w:t>
            </w:r>
          </w:p>
        </w:tc>
        <w:tc>
          <w:tcPr>
            <w:tcW w:w="4394" w:type="dxa"/>
            <w:tcBorders>
              <w:top w:val="nil"/>
              <w:left w:val="nil"/>
              <w:bottom w:val="single" w:sz="4" w:space="0" w:color="auto"/>
              <w:right w:val="single" w:sz="4" w:space="0" w:color="auto"/>
            </w:tcBorders>
            <w:hideMark/>
          </w:tcPr>
          <w:p w14:paraId="4B1500A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Đại biểu nhất trí và ghi nhận Luật AI là luật có tính mới rất cao và mang tính dẫn dắt cho ngành công nghiệp mới phát triển; đánh giá cao nỗ lực của cơ quan soạn thảo và thẩm tra. Tuy nhiên, đại biểu không đồng ý với quan điểm cho rằng AI chỉ phục vụ con người mà không thay thế con người.</w:t>
            </w:r>
            <w:r w:rsidRPr="00AA4A03">
              <w:rPr>
                <w:rFonts w:ascii="Times New Roman" w:eastAsia="Times New Roman" w:hAnsi="Times New Roman" w:cs="Times New Roman"/>
                <w:color w:val="000000"/>
                <w:kern w:val="0"/>
                <w:sz w:val="26"/>
                <w:szCs w:val="26"/>
                <w:lang w:val="vi-VN"/>
                <w14:ligatures w14:val="none"/>
              </w:rPr>
              <w:br/>
              <w:t>Đề xuất, kiến nghị: Cần xác định rõ rằng AI đã bắt đầu thay thế con người ở nhiều hoạt động, không chỉ trong kinh tế - xã hội mà "kể cả trong quốc phòng, an ninh cũng thay thế". Việc này giúp Luật AI giữ được tính dẫn dắt và bao trùm, phù hợp với sự phát triển bùng nổ của AI và viễn cảnh Cách mạng công nghiệp 5.0 (gồm công nghệ lượng tử, AI kết hợp robot và công nghệ sinh học).</w:t>
            </w:r>
          </w:p>
        </w:tc>
        <w:tc>
          <w:tcPr>
            <w:tcW w:w="7087" w:type="dxa"/>
            <w:tcBorders>
              <w:top w:val="nil"/>
              <w:left w:val="nil"/>
              <w:bottom w:val="single" w:sz="4" w:space="0" w:color="auto"/>
              <w:right w:val="single" w:sz="4" w:space="0" w:color="auto"/>
            </w:tcBorders>
            <w:hideMark/>
          </w:tcPr>
          <w:p w14:paraId="7FC77B7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ghi nhận ý kiến của Đại biểu về việc AI trên thực tế đã thay thế con người trong nhiều hoạt động, kể cả một số nhiệm vụ trong quốc phòng, an ninh và sản xuất – kinh doanh. Tuy nhiên, quy định tại khoản 2 Điều 4 không phủ nhận thực tế này, mà xác lập nguyên tắc pháp lý: AI không được thay thế thẩm quyền và trách nhiệm của con người đối với các quyết định ảnh hưởng đến quyền con người, an ninh quốc gia và trật tự xã hội. Đây là chuẩn mực chung của pháp luật quốc tế và là yêu cầu bảo đảm trách nhiệm giải trình trong quản trị công nghệ.</w:t>
            </w:r>
            <w:r w:rsidRPr="00AA4A03">
              <w:rPr>
                <w:rFonts w:ascii="Times New Roman" w:eastAsia="Times New Roman" w:hAnsi="Times New Roman" w:cs="Times New Roman"/>
                <w:color w:val="000000"/>
                <w:kern w:val="0"/>
                <w:sz w:val="26"/>
                <w:szCs w:val="26"/>
                <w:lang w:val="vi-VN"/>
                <w14:ligatures w14:val="none"/>
              </w:rPr>
              <w:br/>
              <w:t>Dự thảo Luật đã phản ánh đầy đủ sự phát triển vượt bậc của AI thông qua các quy định về: quản lý theo mức độ rủi ro (Điều 8), nghĩa vụ an toàn – kiểm soát của con người (Điều 13), cơ chế thử nghiệm có kiểm soát (Điều 20) và phát triển công nghệ tiên tiến, mô hình nền tảng (Điều 15, Điều 17). Các quy định này bảo đảm tính bao trùm, dẫn dắt, phù hợp với xu hướng AI thế hệ mới, bao gồm hội tụ với robot, công nghệ sinh học và lượng tử.</w:t>
            </w:r>
            <w:r w:rsidRPr="00AA4A03">
              <w:rPr>
                <w:rFonts w:ascii="Times New Roman" w:eastAsia="Times New Roman" w:hAnsi="Times New Roman" w:cs="Times New Roman"/>
                <w:color w:val="000000"/>
                <w:kern w:val="0"/>
                <w:sz w:val="26"/>
                <w:szCs w:val="26"/>
                <w:lang w:val="vi-VN"/>
                <w14:ligatures w14:val="none"/>
              </w:rPr>
              <w:br/>
              <w:t>Do đó, việc giữ nguyên nguyên tắc tại Điều 4 là phù hợp, bảo đảm tính ổn định của nền tảng pháp lý, đồng thời không cản trở việc ứng dụng AI ở mức độ tự động hóa cao trong thực tiễn.</w:t>
            </w:r>
          </w:p>
        </w:tc>
      </w:tr>
      <w:tr w:rsidR="00B30308" w:rsidRPr="00EE706C" w14:paraId="6B6BD55C" w14:textId="77777777" w:rsidTr="00AA4A03">
        <w:trPr>
          <w:trHeight w:val="3744"/>
        </w:trPr>
        <w:tc>
          <w:tcPr>
            <w:tcW w:w="708" w:type="dxa"/>
            <w:tcBorders>
              <w:top w:val="nil"/>
              <w:left w:val="single" w:sz="4" w:space="0" w:color="auto"/>
              <w:bottom w:val="single" w:sz="4" w:space="0" w:color="auto"/>
              <w:right w:val="single" w:sz="4" w:space="0" w:color="auto"/>
            </w:tcBorders>
            <w:hideMark/>
          </w:tcPr>
          <w:p w14:paraId="5F1E81B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38</w:t>
            </w:r>
          </w:p>
        </w:tc>
        <w:tc>
          <w:tcPr>
            <w:tcW w:w="2548" w:type="dxa"/>
            <w:tcBorders>
              <w:top w:val="nil"/>
              <w:left w:val="nil"/>
              <w:bottom w:val="single" w:sz="4" w:space="0" w:color="auto"/>
              <w:right w:val="single" w:sz="4" w:space="0" w:color="auto"/>
            </w:tcBorders>
            <w:hideMark/>
          </w:tcPr>
          <w:p w14:paraId="3062605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Quang Huân - TP Hồ Chí Minh</w:t>
            </w:r>
          </w:p>
        </w:tc>
        <w:tc>
          <w:tcPr>
            <w:tcW w:w="4394" w:type="dxa"/>
            <w:tcBorders>
              <w:top w:val="nil"/>
              <w:left w:val="nil"/>
              <w:bottom w:val="single" w:sz="4" w:space="0" w:color="auto"/>
              <w:right w:val="single" w:sz="4" w:space="0" w:color="auto"/>
            </w:tcBorders>
            <w:hideMark/>
          </w:tcPr>
          <w:p w14:paraId="4E01289E"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Đại biểu nhận thấy Điều 5 về Chính sách của Nhà nước về trí tuệ nhân tạo chưa đề cập đến các chính sách khuyến khích phát triển những ngành công nghiệp bổ trợ cho AI phát triển. Đặc biệt nhấn mạnh mặt tiêu cực của AI là tiêu tốn rất nhiều năng lượng (việc làm mát có thể gần bằng 95% khối lượng của cả một hệ thống). Đại biểu cũng lưu ý sự cần thiết phải định hướng cho công nghệ lượng tử và công nghệ sinh học. "Ở Điều 5 quy định các chính sách của Nhà nước về trí tuệ nhân tạo đã đưa ra 8 chính sách nhưng có những chính sách tôi thấy cần phải khuyến khích phát triển những ngành công nghiệp bổ trợ cho AI phát triển thì chưa đề cập."</w:t>
            </w:r>
          </w:p>
          <w:p w14:paraId="491762F7" w14:textId="6C45D4CA" w:rsidR="00B30308"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Bổ sung các chính sách nhà nước khuyến khích, định hướng cho ngành năng lượng, công nghệ lượng tử, công nghệ sinh học để phát triển ổn định và bền vững, đáp ứng nhu cầu khi AI bùng nổ, bởi vì "Luật AI xác định là luật định hướng, luật dẫn dắt".</w:t>
            </w:r>
          </w:p>
        </w:tc>
        <w:tc>
          <w:tcPr>
            <w:tcW w:w="7087" w:type="dxa"/>
            <w:tcBorders>
              <w:top w:val="nil"/>
              <w:left w:val="nil"/>
              <w:bottom w:val="single" w:sz="4" w:space="0" w:color="auto"/>
              <w:right w:val="single" w:sz="4" w:space="0" w:color="auto"/>
            </w:tcBorders>
            <w:hideMark/>
          </w:tcPr>
          <w:p w14:paraId="213C8AC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dự thảo Luật giữ Điều 5 ở mức chính sách khung, trong đó Điều 4 đã quy định nguyên tắc phát triển trí tuệ nhân tạo gắn với tăng trưởng xanh, sử dụng hiệu quả năng lượng, bảo vệ môi trường và phát triển bền vững. Các ngành công nghiệp bổ trợ như năng lượng, công nghệ lượng tử và công nghệ sinh học có vai trò quan trọng đối với hệ sinh thái AI và là mục tiêu AI phục vụ, song thuộc phạm vi điều chỉnh của chiến lược và quy hoạch chuyên ngành; do đó Luật AI không quy định trực tiếp mà giao Chính phủ tích hợp yêu cầu này vào các chương trình, đề án và quy hoạch phát triển theo Chiến lược quốc gia về AI đã được Thủ tướng Chính phủ phê duyệt. Đồng thời, Điều 23 đã tạo nền tảng thúc đẩy các ngành công nghiệp hỗ trợ như hạ tầng tính toán hiệu năng cao, thiết bị phần cứng và công nghệ tiên tiến phục vụ AI. Cách thiết kế này bảo đảm vai trò định hướng của Luật AI, thống nhất với Chiến lược quốc gia và tạo cơ sở pháp lý để Chính phủ cụ thể hóa chính sách phát triển các ngành năng lượng và công nghệ nền tảng theo nhu cầu bùng nổ của AI.</w:t>
            </w:r>
          </w:p>
        </w:tc>
      </w:tr>
      <w:tr w:rsidR="00B30308" w:rsidRPr="00EE706C" w14:paraId="3C5F3046" w14:textId="77777777" w:rsidTr="00AA4A03">
        <w:trPr>
          <w:trHeight w:val="2304"/>
        </w:trPr>
        <w:tc>
          <w:tcPr>
            <w:tcW w:w="708" w:type="dxa"/>
            <w:tcBorders>
              <w:top w:val="nil"/>
              <w:left w:val="single" w:sz="4" w:space="0" w:color="auto"/>
              <w:bottom w:val="single" w:sz="4" w:space="0" w:color="auto"/>
              <w:right w:val="single" w:sz="4" w:space="0" w:color="auto"/>
            </w:tcBorders>
            <w:hideMark/>
          </w:tcPr>
          <w:p w14:paraId="22E5095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39</w:t>
            </w:r>
          </w:p>
        </w:tc>
        <w:tc>
          <w:tcPr>
            <w:tcW w:w="2548" w:type="dxa"/>
            <w:tcBorders>
              <w:top w:val="nil"/>
              <w:left w:val="nil"/>
              <w:bottom w:val="single" w:sz="4" w:space="0" w:color="auto"/>
              <w:right w:val="single" w:sz="4" w:space="0" w:color="auto"/>
            </w:tcBorders>
            <w:hideMark/>
          </w:tcPr>
          <w:p w14:paraId="47A4C74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Thanh Cầm - Đồng Tháp</w:t>
            </w:r>
          </w:p>
        </w:tc>
        <w:tc>
          <w:tcPr>
            <w:tcW w:w="4394" w:type="dxa"/>
            <w:tcBorders>
              <w:top w:val="nil"/>
              <w:left w:val="nil"/>
              <w:bottom w:val="single" w:sz="4" w:space="0" w:color="auto"/>
              <w:right w:val="single" w:sz="4" w:space="0" w:color="auto"/>
            </w:tcBorders>
            <w:hideMark/>
          </w:tcPr>
          <w:p w14:paraId="4F6F6C34"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Tán thành việc xây dựng Luật AI do tính cấp thiết, nhưng bày tỏ lo ngại về mặt trái của AI như xói mòn niềm tin, sự lẫn lộn thật-giả, thao túng tâm lý và hành vi, và suy giảm khả năng tư duy độc lập/cảm thụ của con người. Đề nghị điều chỉnh nguyên tắc cơ bản.</w:t>
            </w:r>
          </w:p>
          <w:p w14:paraId="177E5CEB" w14:textId="5411F1A0"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Điều chỉnh nguyên tắc "lấy con người làm trung tâm" thành “lấy lợi ích và sự an toàn của con người làm trung tâm”.</w:t>
            </w:r>
          </w:p>
        </w:tc>
        <w:tc>
          <w:tcPr>
            <w:tcW w:w="7087" w:type="dxa"/>
            <w:tcBorders>
              <w:top w:val="nil"/>
              <w:left w:val="nil"/>
              <w:bottom w:val="single" w:sz="4" w:space="0" w:color="auto"/>
              <w:right w:val="single" w:sz="4" w:space="0" w:color="auto"/>
            </w:tcBorders>
            <w:hideMark/>
          </w:tcPr>
          <w:p w14:paraId="65BF609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Cơ quan soạn thảo trân trọng cảm ơn sự đồng thuận của Đại biểu. Nguyên tắc "Lấy con người làm trung tâm" là "sợi chỉ đỏ" xuyên suốt trong toàn bộ dự thảo Luật, bảo đảm AI phát triển phục vụ con người. Dự thảo Luật đã quy định tại khoản 1 Điều 4: “Lấy con người làm trung tâm, tôn trọng nhân phẩm, quyền con người, quyền riêng tư; bảo đảm lợi ích quốc gia, lợi ích công cộng và an ninh quốc gia”. Vấn đề an toàn và lợi ích đã được thể hiện đầy đủ, trong đó an toàn hệ thống, an ninh dữ liệu được quy định tại khoản 3 Điều 4, còn lợi ích công cộng và quốc gia đã được bổ sung vào khoản 1 Điều 4. Việc giữ nguyên cụm từ “Lấy con người làm trung tâm” là cần thiết để bảo đảm tính khái quát cao nhất, đồng thời tránh trùng lặp với các nguyên tắc chi tiết đã được quy định ở các khoản sau của Điều 4.</w:t>
            </w:r>
          </w:p>
        </w:tc>
      </w:tr>
      <w:tr w:rsidR="00B30308" w:rsidRPr="00EE706C" w14:paraId="1A88C4A4" w14:textId="77777777" w:rsidTr="00B56CCF">
        <w:trPr>
          <w:trHeight w:val="1257"/>
        </w:trPr>
        <w:tc>
          <w:tcPr>
            <w:tcW w:w="708" w:type="dxa"/>
            <w:tcBorders>
              <w:top w:val="nil"/>
              <w:left w:val="single" w:sz="4" w:space="0" w:color="auto"/>
              <w:bottom w:val="single" w:sz="4" w:space="0" w:color="auto"/>
              <w:right w:val="single" w:sz="4" w:space="0" w:color="auto"/>
            </w:tcBorders>
            <w:hideMark/>
          </w:tcPr>
          <w:p w14:paraId="2ACBC2B3"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40</w:t>
            </w:r>
          </w:p>
        </w:tc>
        <w:tc>
          <w:tcPr>
            <w:tcW w:w="2548" w:type="dxa"/>
            <w:tcBorders>
              <w:top w:val="nil"/>
              <w:left w:val="nil"/>
              <w:bottom w:val="single" w:sz="4" w:space="0" w:color="auto"/>
              <w:right w:val="single" w:sz="4" w:space="0" w:color="auto"/>
            </w:tcBorders>
            <w:hideMark/>
          </w:tcPr>
          <w:p w14:paraId="65F91BA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Thanh Cầm - Đồng Tháp</w:t>
            </w:r>
          </w:p>
        </w:tc>
        <w:tc>
          <w:tcPr>
            <w:tcW w:w="4394" w:type="dxa"/>
            <w:tcBorders>
              <w:top w:val="nil"/>
              <w:left w:val="nil"/>
              <w:bottom w:val="single" w:sz="4" w:space="0" w:color="auto"/>
              <w:right w:val="single" w:sz="4" w:space="0" w:color="auto"/>
            </w:tcBorders>
            <w:hideMark/>
          </w:tcPr>
          <w:p w14:paraId="556716D7"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nghị bổ sung nội dung bảo đảm an toàn, bí mật cá nhân và cuộc sống riêng tư khi chia sẻ dữ liệu trên Cổng thông tin và CSDL Quốc gia, đồng thời bổ sung nguyên tắc này vào khung đạo đức AI.</w:t>
            </w:r>
          </w:p>
          <w:p w14:paraId="20A5B7B9" w14:textId="37691568"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Tại khoản 3 Điều 7, bổ sung nội dung bảo đảm an toàn, bí mật cá nhân, bí mật gia đình, thông tin về cuộc sống riêng tư của công dân. Đồng thời, bổ sung các nguyên tắc này vào điểm a khoản 1 Điều 25 (Khung đạo đức AI quốc gia).</w:t>
            </w:r>
          </w:p>
        </w:tc>
        <w:tc>
          <w:tcPr>
            <w:tcW w:w="7087" w:type="dxa"/>
            <w:tcBorders>
              <w:top w:val="nil"/>
              <w:left w:val="nil"/>
              <w:bottom w:val="single" w:sz="4" w:space="0" w:color="auto"/>
              <w:right w:val="single" w:sz="4" w:space="0" w:color="auto"/>
            </w:tcBorders>
            <w:hideMark/>
          </w:tcPr>
          <w:p w14:paraId="1085EB9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Giải trình ý kiến của Đại biểu Quốc hội. Ban soạn thảo thống nhất với yêu cầu bảo đảm an toàn dữ liệu, bí mật cá nhân và đời sống riêng tư của công dân trong quá trình chia sẻ và khai thác dữ liệu phục vụ phát triển AI. Tuy nhiên, Dự thảo Luật AI không điều chỉnh hoạt động chia sẻ dữ liệu trên Cổng thông tin hay Cơ sở dữ liệu quốc gia, vì nội dung này đã được quy định đầy đủ và mang tính bắt buộc tại Luật Dữ liệu số 60/2024/QH15, đặc biệt các điều về quyền dữ liệu cá nhân, bí mật gia đình, bí mật đời sống riêng tư và giới hạn chia sẻ dữ liệu. Đối với Dự thảo Luật AI, các nguyên tắc bảo vệ quyền riêng tư đã được thể hiện tại Điều 4 (tôn trọng quyền con người, quyền riêng tư), Điều 6 khoản 3 (cấm xử lý dữ liệu trái pháp luật), và Điều 10 (nghĩa vụ minh bạch), cùng với các nghĩa vụ của nhà cung cấp và bên triển khai tại Điều 11 và Điều </w:t>
            </w:r>
            <w:r w:rsidRPr="00AA4A03">
              <w:rPr>
                <w:rFonts w:ascii="Times New Roman" w:eastAsia="Times New Roman" w:hAnsi="Times New Roman" w:cs="Times New Roman"/>
                <w:color w:val="000000"/>
                <w:kern w:val="0"/>
                <w:sz w:val="26"/>
                <w:szCs w:val="26"/>
                <w:lang w:val="vi-VN"/>
                <w14:ligatures w14:val="none"/>
              </w:rPr>
              <w:lastRenderedPageBreak/>
              <w:t>12. Do đó, việc bổ sung các nội dung này vào Điều 7 hoặc Khoản 1 Điều 25 là không cần thiết, dễ gây trùng lặp với Luật Dữ liệu và làm sai lệch cấu trúc của Luật AI. Các yêu cầu liên quan sẽ được Chính phủ hướng dẫn chi tiết theo đúng chức năng của Luật AI.</w:t>
            </w:r>
          </w:p>
        </w:tc>
      </w:tr>
      <w:tr w:rsidR="00B30308" w:rsidRPr="00EE706C" w14:paraId="28E02FDC" w14:textId="77777777" w:rsidTr="00AA4A03">
        <w:trPr>
          <w:trHeight w:val="3744"/>
        </w:trPr>
        <w:tc>
          <w:tcPr>
            <w:tcW w:w="708" w:type="dxa"/>
            <w:tcBorders>
              <w:top w:val="nil"/>
              <w:left w:val="single" w:sz="4" w:space="0" w:color="auto"/>
              <w:bottom w:val="single" w:sz="4" w:space="0" w:color="auto"/>
              <w:right w:val="single" w:sz="4" w:space="0" w:color="auto"/>
            </w:tcBorders>
            <w:hideMark/>
          </w:tcPr>
          <w:p w14:paraId="0BEC7CA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41</w:t>
            </w:r>
          </w:p>
        </w:tc>
        <w:tc>
          <w:tcPr>
            <w:tcW w:w="2548" w:type="dxa"/>
            <w:tcBorders>
              <w:top w:val="nil"/>
              <w:left w:val="nil"/>
              <w:bottom w:val="single" w:sz="4" w:space="0" w:color="auto"/>
              <w:right w:val="single" w:sz="4" w:space="0" w:color="auto"/>
            </w:tcBorders>
            <w:hideMark/>
          </w:tcPr>
          <w:p w14:paraId="0A75F70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Thanh Cầm - Đồng Tháp</w:t>
            </w:r>
          </w:p>
        </w:tc>
        <w:tc>
          <w:tcPr>
            <w:tcW w:w="4394" w:type="dxa"/>
            <w:tcBorders>
              <w:top w:val="nil"/>
              <w:left w:val="nil"/>
              <w:bottom w:val="single" w:sz="4" w:space="0" w:color="auto"/>
              <w:right w:val="single" w:sz="4" w:space="0" w:color="auto"/>
            </w:tcBorders>
            <w:hideMark/>
          </w:tcPr>
          <w:p w14:paraId="1C2C8EAC"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có chính sách ưu tiên phát triển hệ thống đánh giá, cảnh báo, phòng ngừa rủi ro và công nghệ kiểm soát AI (an toàn AI), vì đây là nội dung mới chỉ chiếm một phần nhỏ trong các khoản đầu tư lớn. Cảnh báo về nguy cơ mất kiểm soát: "Nếu mất kiểm soát đối với trí tuệ nhân tạo, loài người có thể biến mất trong 10 năm".</w:t>
            </w:r>
          </w:p>
          <w:p w14:paraId="6A933091" w14:textId="3F7C3C92"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bổ sung chính sách ưu tiên phát triển các hệ thống đánh giá, cảnh báo, phòng ngừa rủi ro và công nghệ kiểm soát trí tuệ nhân tạo (an toàn AI).</w:t>
            </w:r>
          </w:p>
        </w:tc>
        <w:tc>
          <w:tcPr>
            <w:tcW w:w="7087" w:type="dxa"/>
            <w:tcBorders>
              <w:top w:val="nil"/>
              <w:left w:val="nil"/>
              <w:bottom w:val="single" w:sz="4" w:space="0" w:color="auto"/>
              <w:right w:val="single" w:sz="4" w:space="0" w:color="auto"/>
            </w:tcBorders>
            <w:hideMark/>
          </w:tcPr>
          <w:p w14:paraId="09360DE3"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Tiếp thu ý kiến của Đại biểu Quốc hội, Ban soạn thảo nhận thấy việc ưu tiên phát triển các hệ thống đánh giá, cảnh báo, phòng ngừa rủi ro và công nghệ kiểm soát AI là phù hợp với nguyên tắc phát triển an toàn, bền vững tại Điều 4. Để bảo đảm đầy đủ tầng chính sách trước khi được cụ thể hóa tại Điều 13 về yêu cầu an toàn hệ thống, dự thảo được chỉnh lý theo hướng bổ sung vào Điều 5 chính sách ưu tiên nghiên cứu, phát triển và ứng dụng công nghệ AI an toàn, bao gồm các hệ thống đánh giá và kiểm soát rủi ro. Các nhiệm vụ cụ thể sẽ được Chính phủ triển khai trong chiến lược, chương trình và đề án phát triển AI quốc gia, bảo đảm phù hợp xu hướng quốc tế và yêu cầu bảo vệ an toàn xã hội trong bối cảnh AI phát triển nhanh.Chỉnh lý khoản 4 Điều 5</w:t>
            </w:r>
          </w:p>
          <w:p w14:paraId="3ADF3B28" w14:textId="65B5C43C"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Điều 5</w:t>
            </w:r>
          </w:p>
          <w:p w14:paraId="2BBB2722" w14:textId="27D8952A"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4. Nhà nước ưu tiên đầu tư và huy động nguồn lực xã hội để phát triển hạ tầng dữ liệu, hạ tầng tính toán, công nghệ trí tuệ an toàn, nguồn nhân lực chất lượng cao và các nền tảng trí tuệ nhân tạo dùng chung mang tính chiến lược quốc gia.</w:t>
            </w:r>
          </w:p>
        </w:tc>
      </w:tr>
      <w:tr w:rsidR="00B30308" w:rsidRPr="00EE706C" w14:paraId="1DF87906" w14:textId="77777777" w:rsidTr="00AA4A03">
        <w:trPr>
          <w:trHeight w:val="3744"/>
        </w:trPr>
        <w:tc>
          <w:tcPr>
            <w:tcW w:w="708" w:type="dxa"/>
            <w:tcBorders>
              <w:top w:val="nil"/>
              <w:left w:val="single" w:sz="4" w:space="0" w:color="auto"/>
              <w:bottom w:val="single" w:sz="4" w:space="0" w:color="auto"/>
              <w:right w:val="single" w:sz="4" w:space="0" w:color="auto"/>
            </w:tcBorders>
            <w:hideMark/>
          </w:tcPr>
          <w:p w14:paraId="3B98C6F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42</w:t>
            </w:r>
          </w:p>
        </w:tc>
        <w:tc>
          <w:tcPr>
            <w:tcW w:w="2548" w:type="dxa"/>
            <w:tcBorders>
              <w:top w:val="nil"/>
              <w:left w:val="nil"/>
              <w:bottom w:val="single" w:sz="4" w:space="0" w:color="auto"/>
              <w:right w:val="single" w:sz="4" w:space="0" w:color="auto"/>
            </w:tcBorders>
            <w:hideMark/>
          </w:tcPr>
          <w:p w14:paraId="6F14D1F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Thị Lệ Thủy - Vĩnh Long</w:t>
            </w:r>
          </w:p>
        </w:tc>
        <w:tc>
          <w:tcPr>
            <w:tcW w:w="4394" w:type="dxa"/>
            <w:tcBorders>
              <w:top w:val="nil"/>
              <w:left w:val="nil"/>
              <w:bottom w:val="single" w:sz="4" w:space="0" w:color="auto"/>
              <w:right w:val="single" w:sz="4" w:space="0" w:color="auto"/>
            </w:tcBorders>
            <w:hideMark/>
          </w:tcPr>
          <w:p w14:paraId="0CC8808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cân nhắc bổ sung, điều chỉnh hoạt động AI trong lĩnh vực quốc phòng, an ninh và cơ yếu vào phạm vi điều chỉnh của Luật. Đại biểu không đồng tình với giải trình của cơ quan soạn thảo vì việc không áp dụng Luật sẽ tạo ra những vùng trắng pháp lý và thiếu thống nhất giữa các lĩnh vực dân sự, quân sự, an ninh. Nguy cơ rủi ro do AI gây ra là rất lớn, không phụ thuộc vào mục đích ban đầu. Ví dụ về rủi ro: "việc trao quyền quyết định sinh tử cho máy móc đối với các hệ thống vũ khí tự động sát thương mà không có sự can thiệp và kiểm soát đầy đủ của con người"; thuật toán bị huấn luyện dựa trên dữ liệu không đầy đủ (dẫn đến nhắm mục tiêu sai); hệ thống quân sự, an ninh bị tấn công mạng và bị chiếm quyền điều khiển.</w:t>
            </w:r>
            <w:r w:rsidRPr="00AA4A03">
              <w:rPr>
                <w:rFonts w:ascii="Times New Roman" w:eastAsia="Times New Roman" w:hAnsi="Times New Roman" w:cs="Times New Roman"/>
                <w:color w:val="000000"/>
                <w:kern w:val="0"/>
                <w:sz w:val="26"/>
                <w:szCs w:val="26"/>
                <w:lang w:val="vi-VN"/>
                <w14:ligatures w14:val="none"/>
              </w:rPr>
              <w:br/>
              <w:t>Đề xuất, kiến nghị: Đề nghị cần bổ sung, điều chỉnh đối với hoạt động AI trong lĩnh vực quốc phòng, an ninh và cơ yếu, quy định có tính chất nguyên tắc và giao cho các bộ chuyên ngành chịu trách nhiệm.</w:t>
            </w:r>
          </w:p>
        </w:tc>
        <w:tc>
          <w:tcPr>
            <w:tcW w:w="7087" w:type="dxa"/>
            <w:tcBorders>
              <w:top w:val="nil"/>
              <w:left w:val="nil"/>
              <w:bottom w:val="single" w:sz="4" w:space="0" w:color="auto"/>
              <w:right w:val="single" w:sz="4" w:space="0" w:color="auto"/>
            </w:tcBorders>
            <w:hideMark/>
          </w:tcPr>
          <w:p w14:paraId="02F65AC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Dự thảo Luật được thiết kế theo hướng không điều chỉnh các hệ thống trí tuệ nhân tạo phục vụ riêng cho mục đích quốc phòng, an ninh, cơ yếu. Theo thông lệ quốc tế, lĩnh vực này áp dụng cơ chế quản lý riêng, mang tính bí mật và chuyên biệt. Việc loại trừ này không tạo ra "vùng trống pháp lý" vì các hệ thống AI trong lĩnh vực này được Bộ Quốc phòng, Bộ Công an và pháp luật chuyên ngành quy định, bảo đảm quản lý chặt chẽ, phù hợp với tính chất bí mật, đặc thù. Đối với các lo ngại về rủi ro do AI gây ra (như nhắm mục tiêu sai, bị tấn công mạng), Luật AI trong lĩnh vực dân sự tập trung quản lý rủi ro của hệ thống AI dân sự tại Điều 7 đến Điều 14 của Dự thảo.</w:t>
            </w:r>
          </w:p>
        </w:tc>
      </w:tr>
      <w:tr w:rsidR="00B30308" w:rsidRPr="00EE706C" w14:paraId="25B286EC" w14:textId="77777777" w:rsidTr="00AA4A03">
        <w:trPr>
          <w:trHeight w:val="3744"/>
        </w:trPr>
        <w:tc>
          <w:tcPr>
            <w:tcW w:w="708" w:type="dxa"/>
            <w:tcBorders>
              <w:top w:val="nil"/>
              <w:left w:val="single" w:sz="4" w:space="0" w:color="auto"/>
              <w:bottom w:val="single" w:sz="4" w:space="0" w:color="auto"/>
              <w:right w:val="single" w:sz="4" w:space="0" w:color="auto"/>
            </w:tcBorders>
            <w:hideMark/>
          </w:tcPr>
          <w:p w14:paraId="604796A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43</w:t>
            </w:r>
          </w:p>
        </w:tc>
        <w:tc>
          <w:tcPr>
            <w:tcW w:w="2548" w:type="dxa"/>
            <w:tcBorders>
              <w:top w:val="nil"/>
              <w:left w:val="nil"/>
              <w:bottom w:val="single" w:sz="4" w:space="0" w:color="auto"/>
              <w:right w:val="single" w:sz="4" w:space="0" w:color="auto"/>
            </w:tcBorders>
            <w:hideMark/>
          </w:tcPr>
          <w:p w14:paraId="356C26D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Thị Lệ Thủy - Vĩnh Long</w:t>
            </w:r>
          </w:p>
        </w:tc>
        <w:tc>
          <w:tcPr>
            <w:tcW w:w="4394" w:type="dxa"/>
            <w:tcBorders>
              <w:top w:val="nil"/>
              <w:left w:val="nil"/>
              <w:bottom w:val="single" w:sz="4" w:space="0" w:color="auto"/>
              <w:right w:val="single" w:sz="4" w:space="0" w:color="auto"/>
            </w:tcBorders>
            <w:hideMark/>
          </w:tcPr>
          <w:p w14:paraId="5B9D33F1"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Đồng tình với nguyên tắc quản lý theo mức độ rủi ro, nhưng việc quy định trách nhiệm của các nhóm đối tượng (Nhà phát triển, Nhà cung cấp, Bên triển khai, Người sử dụng) theo từng cấp độ rủi ro chưa tương xứng. Hầu như các quy định hiện tại chỉ tập trung nhiều vào Bên triển khai và Người sử dụng. Cần làm rõ vai trò của Nhà phát triển và Nhà cung cấp, đặc biệt là đối với "các sản phẩm hệ thống trí tuệ nhân tạo được phát triển và cung cấp từ nước ngoài".</w:t>
            </w:r>
          </w:p>
          <w:p w14:paraId="111BD916" w14:textId="41B86F93"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làm rõ thêm vai trò, trách nhiệm của nhà phát triển, nhà cung cấp, nhất là đối với hệ thống trí tuệ nhân tạo có rủi ro cao và được phát triển/cung cấp từ nước ngoài.</w:t>
            </w:r>
          </w:p>
        </w:tc>
        <w:tc>
          <w:tcPr>
            <w:tcW w:w="7087" w:type="dxa"/>
            <w:tcBorders>
              <w:top w:val="nil"/>
              <w:left w:val="nil"/>
              <w:bottom w:val="single" w:sz="4" w:space="0" w:color="auto"/>
              <w:right w:val="single" w:sz="4" w:space="0" w:color="auto"/>
            </w:tcBorders>
            <w:hideMark/>
          </w:tcPr>
          <w:p w14:paraId="7463CA9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thống nhất với yêu cầu làm rõ trách nhiệm của Nhà phát triển và Nhà cung cấp, đặc biệt đối với hệ thống trí tuệ nhân tạo có rủi ro cao và được phát triển hoặc cung cấp từ nước ngoài. Dự thảo Luật đã phân bổ trách nhiệm tương ứng theo từng vai trò: Điều 3 xác định rõ Nhà phát triển, Nhà cung cấp, Bên triển khai và phạm vi trách nhiệm của từng chủ thể; Điều 10 quy định nghĩa vụ minh bạch của Nhà cung cấp và Bên triển khai, bao gồm công bố thông tin về chức năng, giới hạn, cảnh báo rủi ro và gắn nhãn hệ thống, tạo cơ sở để cơ quan nhà nước và người sử dụng nhận diện và kiểm soát rủi ro; Điều 11 quy định nghĩa vụ phát hiện, thông báo, xử lý và phối hợp khắc phục sư cố AI của tất cả các chủ thể, trong đó có Nhà phát triển và Nhà cung cấp; Điều 13 đặt ra bộ nghĩa vụ nghiêm ngặt đối với hệ thống AI rủi ro cao, bao gồm quản lý rủi ro, đánh giá an toàn, hạn chế đầu ra và bảo đảm khả năng can thiệp của con người; và Điều 28 quy định rõ trách nhiệm bồi thường thiệt hại của Nhà phát triển, Nhà cung cấp, kể cả tổ chức nước ngoài có sản phẩm triển khai tại Việt Nam. Các quy định này bảo đảm không có khoảng trống trách nhiệm, kể cả đối với sản phẩm AI xuyên biên giới; vì vậy không cần thiết phải bổ sung quy định mới.</w:t>
            </w:r>
          </w:p>
        </w:tc>
      </w:tr>
      <w:tr w:rsidR="00B30308" w:rsidRPr="00EE706C" w14:paraId="5B253D5D"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4CEED3E4"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44</w:t>
            </w:r>
          </w:p>
        </w:tc>
        <w:tc>
          <w:tcPr>
            <w:tcW w:w="2548" w:type="dxa"/>
            <w:tcBorders>
              <w:top w:val="nil"/>
              <w:left w:val="nil"/>
              <w:bottom w:val="single" w:sz="4" w:space="0" w:color="auto"/>
              <w:right w:val="single" w:sz="4" w:space="0" w:color="auto"/>
            </w:tcBorders>
            <w:hideMark/>
          </w:tcPr>
          <w:p w14:paraId="0143A89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Thị Tuyết Nga (Quảng Trị)</w:t>
            </w:r>
          </w:p>
        </w:tc>
        <w:tc>
          <w:tcPr>
            <w:tcW w:w="4394" w:type="dxa"/>
            <w:tcBorders>
              <w:top w:val="nil"/>
              <w:left w:val="nil"/>
              <w:bottom w:val="single" w:sz="4" w:space="0" w:color="auto"/>
              <w:right w:val="single" w:sz="4" w:space="0" w:color="auto"/>
            </w:tcBorders>
            <w:hideMark/>
          </w:tcPr>
          <w:p w14:paraId="5AF87000"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Luật AI là cần thiết để quản lý rủi ro và thúc đẩy đổi mới sáng tạo, bảo vệ quyền lợi người dân và nâng cao năng lực cạnh tranh. Đại biểu đánh giá cao nỗ lực soạn thảo nhưng nêu ra 5 thách thức lớn khi xây dựng Luật (tính đa dạng của công nghệ, cân bằng giữa đổi mới và quản lý, sự đa chiều về pháp lý/đạo đức/xã hội, khó dự đoán rủi ro, và tính toàn cầu của AI). "Đây không chỉ là biện pháp quản lý rủi ro mà còn là đòn bẩy quan trọng nhằm thúc đẩy đổi mới sáng tạo, bảo vệ quyền lợi của người dân và nâng cao năng lực cạnh tranh của quốc gia trong thời đại công nghệ số".</w:t>
            </w:r>
          </w:p>
          <w:p w14:paraId="1BA7B619" w14:textId="4AFCAFFE"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Nhất trí với quan điểm và nguyên tắc xây dựng Luật AI: phải linh hoạt, hài hòa với chuẩn mực quốc tế, quản lý theo mức độ rủi ro. Đề xuất ban hành luật khung là tối ưu.</w:t>
            </w:r>
          </w:p>
        </w:tc>
        <w:tc>
          <w:tcPr>
            <w:tcW w:w="7087" w:type="dxa"/>
            <w:tcBorders>
              <w:top w:val="nil"/>
              <w:left w:val="nil"/>
              <w:bottom w:val="single" w:sz="4" w:space="0" w:color="auto"/>
              <w:right w:val="single" w:sz="4" w:space="0" w:color="auto"/>
            </w:tcBorders>
            <w:hideMark/>
          </w:tcPr>
          <w:p w14:paraId="0C019F9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cám ơn đánh giá và quan điểm của Đại biểu về yêu cầu xây dựng Luật AI theo hướng linh hoạt, hài hòa với chuẩn mực quốc tế và quản lý dựa trên mức độ rủi ro. Cách tiếp cận này đã được thể hiện nhất quán trong Dự thảo, thể hiện qua việc chỉ quy định các nguyên tắc, chính sách, nghĩa vụ cốt lõi và cơ chế bảo đảm an toàn, còn các yêu cầu kỹ thuật, danh mục, quy trình và tiêu chí chuyên sâu sẽ do Chính phủ quy định chi tiết để phù hợp với tốc độ thay đổi nhanh của công nghệ. Việc thiết kế Luật dưới dạng luật khung là lựa chọn tối ưu nhằm bảo đảm tính ổn định của nền pháp luật, đồng thời tạo dư địa điều chỉnh linh hoạt, tránh lạc hậu so với sự phát triển của AI. Thiết kế này cũng tương thích với thông lệ quốc tế hiện nay và phù hợp với năng lực quản trị trong giai đoạn đầu hình thành hệ sinh thái AI của Việt Nam.</w:t>
            </w:r>
          </w:p>
        </w:tc>
      </w:tr>
      <w:tr w:rsidR="00B30308" w:rsidRPr="00EE706C" w14:paraId="75412AAD" w14:textId="77777777" w:rsidTr="00B56CCF">
        <w:trPr>
          <w:trHeight w:val="1541"/>
        </w:trPr>
        <w:tc>
          <w:tcPr>
            <w:tcW w:w="708" w:type="dxa"/>
            <w:tcBorders>
              <w:top w:val="nil"/>
              <w:left w:val="single" w:sz="4" w:space="0" w:color="auto"/>
              <w:bottom w:val="single" w:sz="4" w:space="0" w:color="auto"/>
              <w:right w:val="single" w:sz="4" w:space="0" w:color="auto"/>
            </w:tcBorders>
            <w:hideMark/>
          </w:tcPr>
          <w:p w14:paraId="3EB00CBD"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45</w:t>
            </w:r>
          </w:p>
        </w:tc>
        <w:tc>
          <w:tcPr>
            <w:tcW w:w="2548" w:type="dxa"/>
            <w:tcBorders>
              <w:top w:val="nil"/>
              <w:left w:val="nil"/>
              <w:bottom w:val="single" w:sz="4" w:space="0" w:color="auto"/>
              <w:right w:val="single" w:sz="4" w:space="0" w:color="auto"/>
            </w:tcBorders>
            <w:hideMark/>
          </w:tcPr>
          <w:p w14:paraId="02E578B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Thị Tuyết Nga (Quảng Trị)</w:t>
            </w:r>
          </w:p>
        </w:tc>
        <w:tc>
          <w:tcPr>
            <w:tcW w:w="4394" w:type="dxa"/>
            <w:tcBorders>
              <w:top w:val="nil"/>
              <w:left w:val="nil"/>
              <w:bottom w:val="single" w:sz="4" w:space="0" w:color="auto"/>
              <w:right w:val="single" w:sz="4" w:space="0" w:color="auto"/>
            </w:tcBorders>
            <w:hideMark/>
          </w:tcPr>
          <w:p w14:paraId="3853E37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Nội dung góp ý chính: Nội dung Điều 5 (Chính sách của Nhà nước) còn dàn trải, chưa rõ trọng tâm, và có nhiều khoản mang tính nguyên tắc/yêu cầu thay vì chính sách (ví dụ Khoản 1, Khoản 2, Khoản 5). Đặc biệt, Khoản 5 quy định </w:t>
            </w:r>
            <w:r w:rsidRPr="00AA4A03">
              <w:rPr>
                <w:rFonts w:ascii="Times New Roman" w:eastAsia="Times New Roman" w:hAnsi="Times New Roman" w:cs="Times New Roman"/>
                <w:color w:val="000000"/>
                <w:kern w:val="0"/>
                <w:sz w:val="26"/>
                <w:szCs w:val="26"/>
                <w:lang w:val="vi-VN"/>
                <w14:ligatures w14:val="none"/>
              </w:rPr>
              <w:lastRenderedPageBreak/>
              <w:t>cơ quan nhà nước ưu tiên ứng dụng AI là chưa đủ và chưa phù hợp. "Hơn nữa, khoản 5 quy định các cơ quan nhà nước ưu tiên ứng dụng trí tuệ nhân tạo cũng chưa đủ vì không chỉ có các cơ quan nhà nước, việc quy định nội dung này trong điều chính sách nhà nước là chưa phù hợp".</w:t>
            </w:r>
            <w:r w:rsidRPr="00AA4A03">
              <w:rPr>
                <w:rFonts w:ascii="Times New Roman" w:eastAsia="Times New Roman" w:hAnsi="Times New Roman" w:cs="Times New Roman"/>
                <w:color w:val="000000"/>
                <w:kern w:val="0"/>
                <w:sz w:val="26"/>
                <w:szCs w:val="26"/>
                <w:lang w:val="vi-VN"/>
                <w14:ligatures w14:val="none"/>
              </w:rPr>
              <w:br/>
              <w:t>Đề xuất, kiến nghị: Đề xuất chỉnh lý nội dung Điều 5 để tập trung vào các chính sách ưu tiên mang tính quyết định.</w:t>
            </w:r>
          </w:p>
        </w:tc>
        <w:tc>
          <w:tcPr>
            <w:tcW w:w="7087" w:type="dxa"/>
            <w:tcBorders>
              <w:top w:val="nil"/>
              <w:left w:val="nil"/>
              <w:bottom w:val="single" w:sz="4" w:space="0" w:color="auto"/>
              <w:right w:val="single" w:sz="4" w:space="0" w:color="auto"/>
            </w:tcBorders>
            <w:hideMark/>
          </w:tcPr>
          <w:p w14:paraId="287B94DC"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Giải trình ý kiến của Đại biểu Quốc hội, Ban soạn thảo đã rà soát Điều 5 và khẳng định đây là điều khoản mang tính chính sách khung, xác lập các định hướng ưu tiên của Nhà nước trong phát triển trí tuệ nhân tạo. Một số nội dung tại khoản 1, khoản 2 và khoản 5 mang tính nguyên tắc chung là cần thiết để bảo đảm tính ổn định của Luật, trong khi các chính sách cụ thể đã được lượng </w:t>
            </w:r>
            <w:r w:rsidRPr="00AA4A03">
              <w:rPr>
                <w:rFonts w:ascii="Times New Roman" w:eastAsia="Times New Roman" w:hAnsi="Times New Roman" w:cs="Times New Roman"/>
                <w:color w:val="000000"/>
                <w:kern w:val="0"/>
                <w:sz w:val="26"/>
                <w:szCs w:val="26"/>
                <w:lang w:val="vi-VN"/>
                <w14:ligatures w14:val="none"/>
              </w:rPr>
              <w:lastRenderedPageBreak/>
              <w:t>hóa và phân nhóm ở các điều tiếp theo như an toàn hệ thống (Điều 13), phát triển nhân lực (Điều 22), hỗ trợ doanh nghiệp (Điều 24) và thử nghiệm có kiểm soát (Điều 20). Tiếp thu ý kiến của Đại biểu Quốc hội, Ban soạn thảo thống nhất rằng yêu cầu ưu tiên ứng dụng trí tuệ nhân tạo không chỉ dừng lại ở khu vực cơ quan nhà nước mà cần định hướng rộng hơn, áp dụng cho các ngành, lĩnh vực của nền kinh tế – xã hội, phù hợp mục tiêu thúc đẩy chuyển đổi số quốc gia và Chiến lược quốc gia về AI. Do đó, dự thảo sẽ được chỉnh lý theo hướng làm rõ chính sách khuyến khích và ưu tiên ứng dụng AI trong sản xuất, kinh doanh, dịch vụ và quản lý nhà nước, đặc biệt tại các lĩnh vực có tác động lan tỏa và giá trị gia tăng cao. Việc mở rộng phạm vi chính sách giúp Luật phản ánh đúng tính chất “định hướng và dẫn dắt” của luật chuyên ngành về AI, đồng thời tạo đủ căn cứ để Chính phủ ban hành chương trình, cơ chế khuyến khích áp dụng AI trên phạm vi toàn nền kinh tế như đề xuất của Đại biểu.Chỉnh lý khoản 5 điều 5</w:t>
            </w:r>
          </w:p>
          <w:p w14:paraId="6CA0750C" w14:textId="62B72E64"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Điều 5</w:t>
            </w:r>
          </w:p>
          <w:p w14:paraId="0549F273" w14:textId="7A175839"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5. Ưu tiên ứng dụng trí tuệ nhân tạo trong động quản lý, điều hành, cung cấp dịch vụ công và hỗ trợ ra quyết định cơ quan nhà nước nhằm nâng cao hiệu quả, tính minh bạch và chất lượng phục vụ người dân, doanh nghiệp và khuyến khích ứng dụng rộng rãi trong các ngành, lĩnh vực kinh tế – xã hội nhằm nâng cao năng suất, chất lượng dịch vụ và hiệu quả quản lý.</w:t>
            </w:r>
          </w:p>
        </w:tc>
      </w:tr>
      <w:tr w:rsidR="00B30308" w:rsidRPr="00EE706C" w14:paraId="1BCE4316"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600F35E7"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46</w:t>
            </w:r>
          </w:p>
        </w:tc>
        <w:tc>
          <w:tcPr>
            <w:tcW w:w="2548" w:type="dxa"/>
            <w:tcBorders>
              <w:top w:val="nil"/>
              <w:left w:val="nil"/>
              <w:bottom w:val="single" w:sz="4" w:space="0" w:color="auto"/>
              <w:right w:val="single" w:sz="4" w:space="0" w:color="auto"/>
            </w:tcBorders>
            <w:hideMark/>
          </w:tcPr>
          <w:p w14:paraId="4293DBA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Thị Tuyết Nga (Quảng Trị)</w:t>
            </w:r>
          </w:p>
        </w:tc>
        <w:tc>
          <w:tcPr>
            <w:tcW w:w="4394" w:type="dxa"/>
            <w:tcBorders>
              <w:top w:val="nil"/>
              <w:left w:val="nil"/>
              <w:bottom w:val="single" w:sz="4" w:space="0" w:color="auto"/>
              <w:right w:val="single" w:sz="4" w:space="0" w:color="auto"/>
            </w:tcBorders>
            <w:hideMark/>
          </w:tcPr>
          <w:p w14:paraId="3D5F3FE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ưu tiên 5 chính sách trọng tâm để thúc đẩy AI: (1) Phát triển hạ tầng dữ liệu và hạ tầng tính toán ("nút thắt then chốt"), (2) Phát triển nguồn nhân lực AI (chuyên gia, kỹ sư), (3) Bảo vệ quyền con người, quyền riêng tư và an toàn dữ liệu, đặc biệt với AI rủi ro cao, (4) Hỗ trợ doanh nghiệp và đổi mới sáng tạo (ưu đãi thuế, tín dụng), (5) Xây dựng khung đạo đức và quản trị AI (bảo vệ trẻ em, người yếu thế). "Thứ nhất, ưu tiên phát triển hạ tầng dữ liệu và hạ tầng tính toán, đây là nút thắt then chốt, không có dữ liệu chất lượng và hạ tầng tính toán mạnh thì mọi tham vọng về AI đều không thể hiện thực".</w:t>
            </w:r>
            <w:r w:rsidRPr="00AA4A03">
              <w:rPr>
                <w:rFonts w:ascii="Times New Roman" w:eastAsia="Times New Roman" w:hAnsi="Times New Roman" w:cs="Times New Roman"/>
                <w:color w:val="000000"/>
                <w:kern w:val="0"/>
                <w:sz w:val="26"/>
                <w:szCs w:val="26"/>
                <w:lang w:val="vi-VN"/>
                <w14:ligatures w14:val="none"/>
              </w:rPr>
              <w:br/>
              <w:t>Đề xuất, kiến nghị: Bổ sung 5 chính sách ưu tiên trọng tâm này vào Điều 5.</w:t>
            </w:r>
          </w:p>
        </w:tc>
        <w:tc>
          <w:tcPr>
            <w:tcW w:w="7087" w:type="dxa"/>
            <w:tcBorders>
              <w:top w:val="nil"/>
              <w:left w:val="nil"/>
              <w:bottom w:val="single" w:sz="4" w:space="0" w:color="auto"/>
              <w:right w:val="single" w:sz="4" w:space="0" w:color="auto"/>
            </w:tcBorders>
            <w:hideMark/>
          </w:tcPr>
          <w:p w14:paraId="0A22983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đã rà soát Điều 5 và khẳng định các chính sách trọng tâm mà Đại biểu đề xuất đều đã được thể hiện trong các điều khoản của dự thảo Luật. Cụ thể, phát triển hạ tầng dữ liệu và hạ tầng tính toán được quy định tại khoản 2 Điều 5 và được cụ thể hóa tại Điều 23; phát triển nguồn nhân lực AI được nêu tại khoản 4 Điều 5 và chi tiết hóa tại Điều 22; bảo vệ quyền con người, quyền riêng tư và an toàn dữ liệu được thể hiện xuyên suốt tại Điều 4 và Điều 13; hỗ trợ doanh nghiệp và đổi mới sáng tạo được quy định tại khoản 3 Điều 5 và chi tiết hóa tại Điều 24; và yêu cầu xây dựng khung đạo đức, quản trị AI đã được thể hiện tại Điều 4, Điều 13 và các quy định về thử nghiệm có kiểm soát. Do Điều 5 là chính sách khung nên không liệt kê chi tiết năm nhóm ưu tiên này, nhưng dự thảo đã bảo đảm thể hiện đầy đủ tinh thần trong các điều cụ thể, đồng thời giao Chính phủ hướng dẫn để triển khai trọng tâm các chính sách nêu trên theo đúng đề xuất của Đại biểu.</w:t>
            </w:r>
          </w:p>
        </w:tc>
      </w:tr>
      <w:tr w:rsidR="00B30308" w:rsidRPr="00EE706C" w14:paraId="6BD6C362"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52F05B0A"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47</w:t>
            </w:r>
          </w:p>
        </w:tc>
        <w:tc>
          <w:tcPr>
            <w:tcW w:w="2548" w:type="dxa"/>
            <w:tcBorders>
              <w:top w:val="nil"/>
              <w:left w:val="nil"/>
              <w:bottom w:val="single" w:sz="4" w:space="0" w:color="auto"/>
              <w:right w:val="single" w:sz="4" w:space="0" w:color="auto"/>
            </w:tcBorders>
            <w:hideMark/>
          </w:tcPr>
          <w:p w14:paraId="69E1636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Thị Tuyết Nga (Quảng Trị)</w:t>
            </w:r>
          </w:p>
        </w:tc>
        <w:tc>
          <w:tcPr>
            <w:tcW w:w="4394" w:type="dxa"/>
            <w:tcBorders>
              <w:top w:val="nil"/>
              <w:left w:val="nil"/>
              <w:bottom w:val="single" w:sz="4" w:space="0" w:color="auto"/>
              <w:right w:val="single" w:sz="4" w:space="0" w:color="auto"/>
            </w:tcBorders>
            <w:hideMark/>
          </w:tcPr>
          <w:p w14:paraId="2D9EFCED"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Đánh giá cao việc thiết kế điều khoản về đào tạo nhân lực (Điều 24 trong phát biểu) nhưng nội dung còn dàn trải và cần cụ thể hóa các cơ chế khuyến khích. Các cơ chế cần làm rõ bao gồm: khuyến khích đào tạo chuyên sâu về AI; cơ chế thu hút chuyên gia trong và ngoài nước; cơ chế hợp tác giữa Nhà nước, doanh nghiệp và cơ sở giáo dục; và cơ chế bảo vệ quyền sở hữu trí tuệ của chuyên gia, kỹ sư, nhà nghiên cứu. "Theo tôi, điều này cần rõ hơn các nội dung cơ chế như khuyến khích và hỗ trợ các chương trình đào tạo chuyên sâu về AI, cơ chế thu hút chuyên gia trong và ngoài nước, bồi dưỡng đội ngũ chuyên gia đầu ngành...".</w:t>
            </w:r>
          </w:p>
          <w:p w14:paraId="06AE446D" w14:textId="733AB0D6"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làm rõ hơn các cơ chế khuyến khích, hỗ trợ đào tạo và bảo vệ quyền sở hữu trí tuệ của nhân lực AI.</w:t>
            </w:r>
          </w:p>
        </w:tc>
        <w:tc>
          <w:tcPr>
            <w:tcW w:w="7087" w:type="dxa"/>
            <w:tcBorders>
              <w:top w:val="nil"/>
              <w:left w:val="nil"/>
              <w:bottom w:val="single" w:sz="4" w:space="0" w:color="auto"/>
              <w:right w:val="single" w:sz="4" w:space="0" w:color="auto"/>
            </w:tcBorders>
            <w:hideMark/>
          </w:tcPr>
          <w:p w14:paraId="18BD5464"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Nội dung đào tạo, phát triển nhân lực AI đã được quy định tập trung tại Điều 22 theo hướng xác lập các nguyên tắc và lĩnh vực Nhà nước ưu tiên hỗ trợ (đào tạo chuyên gia, kỹ sư AI; phát triển chương trình đào tạo; thúc đẩy hợp tác viện–trường–doanh nghiệp; nâng cao năng lực tại địa phương). Các cơ chế khuyến khích và hỗ trợ cụ thể về học bổng, đặt hàng đào tạo, ưu đãi thuế, tín dụng hay hỗ trợ tài chính cho các cơ sở đào tạo được thiết kế theo nguyên tắc giao Chính phủ quy định chi tiết để bảo đảm linh hoạt, phù hợp điều kiện ngân sách và tránh trùng lặp với Luật Giáo dục, Luật Khoa học và công nghệ.</w:t>
            </w:r>
          </w:p>
          <w:p w14:paraId="6683C850" w14:textId="479420DB"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Về bảo vệ quyền sở hữu trí tuệ của nhân lực AI, Điều 5 và Điều 4 đặt ra nguyên tắc bảo vệ quyền của người sáng tạo; các vấn đề chuyên sâu về SHTT tiếp tục được điều chỉnh đầy đủ bởi pháp luật sở hữu trí tuệ hiện hành. Thiết kế này bảo đảm Luật AI giữ đúng tính chất “luật khung”, đồng thời tạo cơ sở pháp lý đầy đủ để Chính phủ ban hành chính sách hỗ trợ nhân lực AI theo tinh thần góp ý của Đại biểu.</w:t>
            </w:r>
          </w:p>
        </w:tc>
      </w:tr>
      <w:tr w:rsidR="00B30308" w:rsidRPr="00EE706C" w14:paraId="0DE94A76"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29128190"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48</w:t>
            </w:r>
          </w:p>
        </w:tc>
        <w:tc>
          <w:tcPr>
            <w:tcW w:w="2548" w:type="dxa"/>
            <w:tcBorders>
              <w:top w:val="nil"/>
              <w:left w:val="nil"/>
              <w:bottom w:val="single" w:sz="4" w:space="0" w:color="auto"/>
              <w:right w:val="single" w:sz="4" w:space="0" w:color="auto"/>
            </w:tcBorders>
            <w:hideMark/>
          </w:tcPr>
          <w:p w14:paraId="460127A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Thị Tuyết Nga (Quảng Trị)</w:t>
            </w:r>
          </w:p>
        </w:tc>
        <w:tc>
          <w:tcPr>
            <w:tcW w:w="4394" w:type="dxa"/>
            <w:tcBorders>
              <w:top w:val="nil"/>
              <w:left w:val="nil"/>
              <w:bottom w:val="single" w:sz="4" w:space="0" w:color="auto"/>
              <w:right w:val="single" w:sz="4" w:space="0" w:color="auto"/>
            </w:tcBorders>
            <w:hideMark/>
          </w:tcPr>
          <w:p w14:paraId="1315083A"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cân nhắc thận trọng khoản 2, 3 Điều 24 (trong phát biểu) quy định cụ thể trách nhiệm cho giáo dục phổ thông, giáo dục nghề nghiệp và đại học. Đề nghị nên để các vấn đề này cho luật chuyên ngành về giáo dục và đào tạo quy định để đảm bảo thống nhất. Nếu luật quy định, cần thận trọng với yêu cầu tích hợp AI vào chương trình bắt buộc ở phổ thông, đặc biệt lứa tiểu học, vì học sinh còn non nớt và AI có thể gây tác động tiêu cực nếu không kiểm soát.</w:t>
            </w:r>
          </w:p>
          <w:p w14:paraId="355A6624" w14:textId="700F3945"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để luật chuyên ngành quy định các vấn đề cụ thể về giáo dục. Nếu Luật AI quy định, phải luật hóa các nguyên tắc bảo vệ trẻ em khi sử dụng AI và yêu cầu các phần mềm nền tảng AI dùng trong giáo dục phổ thông phải được kiểm duyệt nội dung.</w:t>
            </w:r>
          </w:p>
        </w:tc>
        <w:tc>
          <w:tcPr>
            <w:tcW w:w="7087" w:type="dxa"/>
            <w:tcBorders>
              <w:top w:val="nil"/>
              <w:left w:val="nil"/>
              <w:bottom w:val="single" w:sz="4" w:space="0" w:color="auto"/>
              <w:right w:val="single" w:sz="4" w:space="0" w:color="auto"/>
            </w:tcBorders>
            <w:hideMark/>
          </w:tcPr>
          <w:p w14:paraId="763A8E87"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Điều 22 của Dự thảo Luật chỉ quy định nguyên tắc định hướng phát triển nguồn nhân lực AI, không đi vào nội dung chương trình, mô hình đào tạo hay kiểm duyệt công cụ giáo dục—những nội dung thuộc phạm vi điều chỉnh của Luật Giáo dục, Luật Giáo dục nghề nghiệp và các văn bản chuyên ngành. Vì vậy, thiết kế của Luật AI bảo đảm không chồng lấn thẩm quyền.</w:t>
            </w:r>
          </w:p>
          <w:p w14:paraId="684C53DB"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Các yêu cầu Đại biểu nêu về bảo vệ trẻ em, kiểm duyệt nội dung AI trong giáo dục phổ thông và an toàn môi trường học tập đã được thể chế hóa ở mức nguyên tắc tại Điều 4 (bảo đảm an toàn, không gây hại), Điều 6 (hành vi bị cấm: thao túng, gây hại nhóm dễ tổn thương), Điều 10 (minh bạch), Điều 13 (kiểm soát rủi ro). Trên cơ sở khung pháp lý này, Chính phủ và Bộ Giáo dục và Đào tạo sẽ quy định chi tiết tiêu chuẩn, quy trình thẩm định, kiểm duyệt công cụ AI dùng trong giáo dục phổ thông, bảo đảm an toàn cho trẻ em như ý kiến của Đại biểu.</w:t>
            </w:r>
          </w:p>
          <w:p w14:paraId="680D4952" w14:textId="6381093D" w:rsidR="00B30308"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Thiết kế như hiện nay giữ được tính “luật khung”, không làm phát sinh xung đột pháp luật, đồng thời tạo đầy đủ cơ sở pháp lý cho quản lý AI trong giáo dục.</w:t>
            </w:r>
          </w:p>
        </w:tc>
      </w:tr>
      <w:tr w:rsidR="00B30308" w:rsidRPr="00EE706C" w14:paraId="79024EEE"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49DA45D7"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49</w:t>
            </w:r>
          </w:p>
        </w:tc>
        <w:tc>
          <w:tcPr>
            <w:tcW w:w="2548" w:type="dxa"/>
            <w:tcBorders>
              <w:top w:val="nil"/>
              <w:left w:val="nil"/>
              <w:bottom w:val="single" w:sz="4" w:space="0" w:color="auto"/>
              <w:right w:val="single" w:sz="4" w:space="0" w:color="auto"/>
            </w:tcBorders>
            <w:hideMark/>
          </w:tcPr>
          <w:p w14:paraId="55B6330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Tâm Hùng (TP Hồ Chí Minh)</w:t>
            </w:r>
          </w:p>
        </w:tc>
        <w:tc>
          <w:tcPr>
            <w:tcW w:w="4394" w:type="dxa"/>
            <w:tcBorders>
              <w:top w:val="nil"/>
              <w:left w:val="nil"/>
              <w:bottom w:val="single" w:sz="4" w:space="0" w:color="auto"/>
              <w:right w:val="single" w:sz="4" w:space="0" w:color="auto"/>
            </w:tcBorders>
            <w:hideMark/>
          </w:tcPr>
          <w:p w14:paraId="2C8AAFA7"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Tán thành cao với sự cần thiết ban hành Luật AI nhằm tạo lập khung pháp lý cho phát triển, đổi mới sáng tạo, bảo vệ quyền con người, chủ quyền số và an ninh quốc gia. Tán thành quy định nhà cung cấp phải tự phân loại mức rủi ro trước khi lưu hành. "Dự thảo luật được xây dựng kỹ lưỡng theo kịp xu thế điều chỉnh pháp luật về trí tuệ nhân tạo của thế giới".</w:t>
            </w:r>
          </w:p>
          <w:p w14:paraId="49D173C8" w14:textId="21B15EB3"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bổ sung rõ cơ chế xác nhận tự động trên cổng thông tin điện tử một cửa trong thời hạn tối đa 15 ngày đối với hồ sơ phân loại đầy đủ, nhằm tránh kéo dài thủ tục thương mại hóa.</w:t>
            </w:r>
          </w:p>
        </w:tc>
        <w:tc>
          <w:tcPr>
            <w:tcW w:w="7087" w:type="dxa"/>
            <w:tcBorders>
              <w:top w:val="nil"/>
              <w:left w:val="nil"/>
              <w:bottom w:val="single" w:sz="4" w:space="0" w:color="auto"/>
              <w:right w:val="single" w:sz="4" w:space="0" w:color="auto"/>
            </w:tcBorders>
            <w:hideMark/>
          </w:tcPr>
          <w:p w14:paraId="0353956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Dự thảo Luật duy trì nguyên tắc nhà cung cấp tự phân loại rủi ro theo Điều 9 và không đặt ra cơ chế xác nhận bắt buộc, nhằm tránh phát sinh thủ tục hành chính mới và bảo đảm đúng tinh thần quản lý linh hoạt (light-touch). Việc phân loại là trách nhiệm pháp lý của nhà cung cấp, và kết quả phải được công khai minh bạch trên cổng thông tin theo Điều 10 để phục vụ giám sát và hậu kiểm của cơ quan nhà nước. Để hỗ trợ các doanh nghiệp không đủ năng lực chuyên môn hoặc có nhu cầu tham vấn, Luật giao Bộ Khoa học và Công nghệ cung cấp dịch vụ hỗ trợ chuyên môn (không phải xác nhận hay phê duyệt) thông qua cổng thông tin một cửa; quy trình hỗ trợ này sẽ được hướng dẫn chi tiết tại Nghị định và hoàn toàn mang tính tự nguyện. Thời hạn và quy trình xác nhận sẽ được Chính phủ quy định chi tiết trong Nghị định, bảo đảm tính linh hoạt, khả thi và tránh cứng hóa kỹ thuật trong Luật.</w:t>
            </w:r>
          </w:p>
        </w:tc>
      </w:tr>
      <w:tr w:rsidR="00B30308" w:rsidRPr="00EE706C" w14:paraId="61334FE3" w14:textId="77777777" w:rsidTr="00B56CCF">
        <w:trPr>
          <w:trHeight w:val="2249"/>
        </w:trPr>
        <w:tc>
          <w:tcPr>
            <w:tcW w:w="708" w:type="dxa"/>
            <w:tcBorders>
              <w:top w:val="nil"/>
              <w:left w:val="single" w:sz="4" w:space="0" w:color="auto"/>
              <w:bottom w:val="single" w:sz="4" w:space="0" w:color="auto"/>
              <w:right w:val="single" w:sz="4" w:space="0" w:color="auto"/>
            </w:tcBorders>
            <w:hideMark/>
          </w:tcPr>
          <w:p w14:paraId="689AEB6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50</w:t>
            </w:r>
          </w:p>
        </w:tc>
        <w:tc>
          <w:tcPr>
            <w:tcW w:w="2548" w:type="dxa"/>
            <w:tcBorders>
              <w:top w:val="nil"/>
              <w:left w:val="nil"/>
              <w:bottom w:val="single" w:sz="4" w:space="0" w:color="auto"/>
              <w:right w:val="single" w:sz="4" w:space="0" w:color="auto"/>
            </w:tcBorders>
            <w:hideMark/>
          </w:tcPr>
          <w:p w14:paraId="1A44F03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Tâm Hùng (TP Hồ Chí Minh)</w:t>
            </w:r>
          </w:p>
        </w:tc>
        <w:tc>
          <w:tcPr>
            <w:tcW w:w="4394" w:type="dxa"/>
            <w:tcBorders>
              <w:top w:val="nil"/>
              <w:left w:val="nil"/>
              <w:bottom w:val="single" w:sz="4" w:space="0" w:color="auto"/>
              <w:right w:val="single" w:sz="4" w:space="0" w:color="auto"/>
            </w:tcBorders>
            <w:hideMark/>
          </w:tcPr>
          <w:p w14:paraId="507F8AA3"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Nội dung góp ý chính: Trách nhiệm minh bạch (Điều 10) yêu cầu đánh dấu dạng máy đọc đối với nội dung AI là cần thiết. Tuy nhiên, cần tăng cường bảo vệ người dùng phổ thông, đặc biệt là trẻ em và người lớn tuổi khỏi thông tin sai lệch và giả mạo tinh vi. "Song, tôi đề nghị Ban soạn thảo xem xét bổ sung yêu cầu bắt buộc hiển thị thông tin nhận diện ngay trên giao diện tương tác khi nội dung có nguy cơ gây nhầm lẫn để bảo vệ </w:t>
            </w:r>
            <w:r w:rsidRPr="00AA4A03">
              <w:rPr>
                <w:rFonts w:ascii="Times New Roman" w:eastAsia="Times New Roman" w:hAnsi="Times New Roman" w:cs="Times New Roman"/>
                <w:color w:val="000000"/>
                <w:kern w:val="0"/>
                <w:sz w:val="26"/>
                <w:szCs w:val="26"/>
                <w:lang w:val="vi-VN"/>
                <w14:ligatures w14:val="none"/>
              </w:rPr>
              <w:lastRenderedPageBreak/>
              <w:t>người dùng phổ thông, đặc biệt là trẻ em và người lớn tuổi khỏi nguy cơ thông tin sai lệch và các giả mạo tinh vi".</w:t>
            </w:r>
          </w:p>
          <w:p w14:paraId="61C0FB45" w14:textId="00DD9A92"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Bổ sung yêu cầu bắt buộc hiển thị thông tin nhận diện AI ngay trên giao diện tương tác khi nội dung có nguy cơ gây nhầm lẫn.</w:t>
            </w:r>
          </w:p>
        </w:tc>
        <w:tc>
          <w:tcPr>
            <w:tcW w:w="7087" w:type="dxa"/>
            <w:tcBorders>
              <w:top w:val="nil"/>
              <w:left w:val="nil"/>
              <w:bottom w:val="single" w:sz="4" w:space="0" w:color="auto"/>
              <w:right w:val="single" w:sz="4" w:space="0" w:color="auto"/>
            </w:tcBorders>
            <w:hideMark/>
          </w:tcPr>
          <w:p w14:paraId="43747F3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Ban soạn thảo xin báo cáo như sau: Điều 10 của Dự thảo Luật đã quy định nghĩa vụ minh bạch bắt buộc, bao gồm đánh dấu dạng máy đọc và gán nhãn nhận diện đối với nội dung do AI tạo ra hoặc chỉnh sửa, tạo cơ sở pháp lý để hệ thống nền tảng và cơ quan quản lý truy vết và giám sát đầy đủ. Đề xuất bổ sung quy định “hiển thị thông tin nhận diện ngay trên giao diện tương tác” là cần thiết về mặt mục tiêu bảo vệ người dùng, nhưng đây là biện pháp kỹ thuật phụ thuộc từng loại hình nền tảng, thiết kế giao diện và công nghệ hiển thị, thay đổi rất nhanh theo tiến bộ công nghệ. Nếu quy định cứng trong Luật sẽ khóa cứng giải pháp kỹ thuật, làm phát sinh gánh nặng cho doanh nghiệp nhỏ và gây thiếu linh hoạt khi triển </w:t>
            </w:r>
            <w:r w:rsidRPr="00AA4A03">
              <w:rPr>
                <w:rFonts w:ascii="Times New Roman" w:eastAsia="Times New Roman" w:hAnsi="Times New Roman" w:cs="Times New Roman"/>
                <w:color w:val="000000"/>
                <w:kern w:val="0"/>
                <w:sz w:val="26"/>
                <w:szCs w:val="26"/>
                <w:lang w:val="vi-VN"/>
                <w14:ligatures w14:val="none"/>
              </w:rPr>
              <w:lastRenderedPageBreak/>
              <w:t>khai. Vì vậy, Ban soạn thảo đề xuất không đưa yêu cầu này vào Điều 10, mà giao Chính phủ quy định chi tiết trong Nghị định hoặc tiêu chuẩn kỹ thuật, bao gồm quy định về hiển thị, cảnh báo và mức độ nhận diện phù hợp với từng loại nội dung và nhóm dễ tổn thương, bảo đảm vừa bảo vệ người dùng, vừa giữ tính khả thi và cập nhật của chính sách.</w:t>
            </w:r>
          </w:p>
        </w:tc>
      </w:tr>
      <w:tr w:rsidR="00B30308" w:rsidRPr="00EE706C" w14:paraId="268EE137"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088C9B59"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51</w:t>
            </w:r>
          </w:p>
        </w:tc>
        <w:tc>
          <w:tcPr>
            <w:tcW w:w="2548" w:type="dxa"/>
            <w:tcBorders>
              <w:top w:val="nil"/>
              <w:left w:val="nil"/>
              <w:bottom w:val="single" w:sz="4" w:space="0" w:color="auto"/>
              <w:right w:val="single" w:sz="4" w:space="0" w:color="auto"/>
            </w:tcBorders>
            <w:hideMark/>
          </w:tcPr>
          <w:p w14:paraId="15305DA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Tâm Hùng (TP Hồ Chí Minh)</w:t>
            </w:r>
          </w:p>
        </w:tc>
        <w:tc>
          <w:tcPr>
            <w:tcW w:w="4394" w:type="dxa"/>
            <w:tcBorders>
              <w:top w:val="nil"/>
              <w:left w:val="nil"/>
              <w:bottom w:val="single" w:sz="4" w:space="0" w:color="auto"/>
              <w:right w:val="single" w:sz="4" w:space="0" w:color="auto"/>
            </w:tcBorders>
            <w:hideMark/>
          </w:tcPr>
          <w:p w14:paraId="7B86A67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Tán thành yêu cầu duy trì biện pháp quản lý rủi ro và nhật ký hoạt động đối với AI rủi ro cao (Điều 13). Đề xuất bổ sung yêu cầu đánh giá tác động đạo đức xã hội ngay từ giai đoạn thiết kế. "Đây là yêu cầu phù hợp với chuẩn quốc tế, giúp dự báo rủi ro từ sớm, bảo vệ các nhóm dễ bị tổn thương và nâng cao trách nhiệm giải trình".</w:t>
            </w:r>
            <w:r w:rsidRPr="00AA4A03">
              <w:rPr>
                <w:rFonts w:ascii="Times New Roman" w:eastAsia="Times New Roman" w:hAnsi="Times New Roman" w:cs="Times New Roman"/>
                <w:color w:val="000000"/>
                <w:kern w:val="0"/>
                <w:sz w:val="26"/>
                <w:szCs w:val="26"/>
                <w:lang w:val="vi-VN"/>
                <w14:ligatures w14:val="none"/>
              </w:rPr>
              <w:br/>
              <w:t>Đề xuất, kiến nghị: Bổ sung yêu cầu đánh giá tác động đạo đức xã hội ngay từ giai đoạn thiết kế hệ thống dưới dạng báo cáo bắt buộc nộp cùng hồ sơ lưu hành.</w:t>
            </w:r>
          </w:p>
        </w:tc>
        <w:tc>
          <w:tcPr>
            <w:tcW w:w="7087" w:type="dxa"/>
            <w:tcBorders>
              <w:top w:val="nil"/>
              <w:left w:val="nil"/>
              <w:bottom w:val="single" w:sz="4" w:space="0" w:color="auto"/>
              <w:right w:val="single" w:sz="4" w:space="0" w:color="auto"/>
            </w:tcBorders>
            <w:hideMark/>
          </w:tcPr>
          <w:p w14:paraId="77ACFD4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nhất trí đề xuất của Đại biểu về yêu cầu đánh giá tác động đạo đức – xã hội ở giai đoạn thiết kế. Tuy nhiên, Dự thảo Luật AI đã bao quát đầy đủ nội dung này thông qua các nghĩa vụ cốt lõi đối với hệ thống AI rủi ro cao: đánh giá rủi ro, xác định tác động đối với nhóm dễ bị tổn thương, giảm thiểu thiên lệch, bảo đảm công bằng, duy trì kiểm soát của con người, minh bạch và giải trình theo Điều 10, Điều 11 và Điều 13. Đây chính là yêu cầu đánh giá tác động đạo đức – xã hội nhưng được tích hợp vào nghĩa vụ thiết kế và vận hành có trách nhiệm, phù hợp thông lệ OECD, EU. Việc bổ sung thêm một “báo cáo độc lập” trong hồ sơ lưu hành có nguy cơ tạo thủ tục hành chính mới và làm tăng chi phí tuân thủ, đặc biệt đối với doanh nghiệp nhỏ. Các nội dung Đại biểu đề xuất sẽ được Chính phủ quy định chi tiết trong Nghị định để bảo đảm khả thi, đồng bộ và linh hoạt theo từng loại hệ thống AI rủi ro cao.</w:t>
            </w:r>
          </w:p>
        </w:tc>
      </w:tr>
      <w:tr w:rsidR="00B30308" w:rsidRPr="00EE706C" w14:paraId="1357374C"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5262B8F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52</w:t>
            </w:r>
          </w:p>
        </w:tc>
        <w:tc>
          <w:tcPr>
            <w:tcW w:w="2548" w:type="dxa"/>
            <w:tcBorders>
              <w:top w:val="nil"/>
              <w:left w:val="nil"/>
              <w:bottom w:val="single" w:sz="4" w:space="0" w:color="auto"/>
              <w:right w:val="single" w:sz="4" w:space="0" w:color="auto"/>
            </w:tcBorders>
            <w:hideMark/>
          </w:tcPr>
          <w:p w14:paraId="305DFE1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Tâm Hùng (TP Hồ Chí Minh)</w:t>
            </w:r>
          </w:p>
        </w:tc>
        <w:tc>
          <w:tcPr>
            <w:tcW w:w="4394" w:type="dxa"/>
            <w:tcBorders>
              <w:top w:val="nil"/>
              <w:left w:val="nil"/>
              <w:bottom w:val="single" w:sz="4" w:space="0" w:color="auto"/>
              <w:right w:val="single" w:sz="4" w:space="0" w:color="auto"/>
            </w:tcBorders>
            <w:hideMark/>
          </w:tcPr>
          <w:p w14:paraId="20E8D06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nghị kiểm soát khả năng tự sinh của mô hình trí tuệ nhân tạo đa dụng (Foundation Models) khi chúng có thể bị lợi dụng cho mục đích tấn công mạng. Ví dụ thực tiễn cho thấy mô hình có thể tự sinh ra mã nguồn, công cụ tấn công, chỉ thị thực thi quy trình tấn công mạng, phương thức gian lận tài chính hoặc công cụ vượt qua hệ thống bảo mật. "Chính vì vậy, cần phải có cơ chế cảnh báo, chặn, giới hạn đầu ra là cần thiết để bảo đảm an ninh mạng và an ninh quốc gia cũng như trật tự, an toàn xã hội trong tình hình mới".</w:t>
            </w:r>
            <w:r w:rsidRPr="00AA4A03">
              <w:rPr>
                <w:rFonts w:ascii="Times New Roman" w:eastAsia="Times New Roman" w:hAnsi="Times New Roman" w:cs="Times New Roman"/>
                <w:color w:val="000000"/>
                <w:kern w:val="0"/>
                <w:sz w:val="26"/>
                <w:szCs w:val="26"/>
                <w:lang w:val="vi-VN"/>
                <w14:ligatures w14:val="none"/>
              </w:rPr>
              <w:br/>
              <w:t>Đề xuất, kiến nghị: Bổ sung nghĩa vụ kiểm soát khả năng tự sinh của mô hình AI đa dụng (cơ chế cảnh báo, chặn, giới hạn đầu ra) đối với các nội dung có thể gây hại cho an ninh, trật tự xã hội.</w:t>
            </w:r>
          </w:p>
        </w:tc>
        <w:tc>
          <w:tcPr>
            <w:tcW w:w="7087" w:type="dxa"/>
            <w:tcBorders>
              <w:top w:val="nil"/>
              <w:left w:val="nil"/>
              <w:bottom w:val="single" w:sz="4" w:space="0" w:color="auto"/>
              <w:right w:val="single" w:sz="4" w:space="0" w:color="auto"/>
            </w:tcBorders>
            <w:hideMark/>
          </w:tcPr>
          <w:p w14:paraId="1E90E84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Dự thảo Luật được thiết kế theo cách tiếp cận quản lý dựa trên mức độ rủi ro của hệ thống trí tuệ nhân tạo, không quản lý theo loại mô hình hay công nghệ nền tảng. Theo đó, mọi mô hình trí tuệ nhân tạo, kể cả mô hình sinh nội dung hay mô hình đa dụng, khi được đưa vào sử dụng để hình thành một hệ thống AI cụ thể, đều phải được phân loại theo rủi ro theo Điều 8. Nếu hệ thống có khả năng tạo nội dung gây hại hoặc bị lợi dụng cho mục đích tấn công mạng, hệ thống đó sẽ được xếp vào AI rủi ro cao và phải tuân thủ đầy đủ các nghĩa vụ kiểm soát an toàn tại Điều 13, bao gồm: quản lý rủi ro, cảnh báo rủi ro, duy trì khả năng can thiệp của con người và trách nhiệm giải trình. Bên cạnh đó, điểm d khoản 2 Điều 6 cấm tuyệt đối việc tạo hoặc phổ biến nội dung gây nguy hại nghiêm trọng, bảo đảm an toàn ngay từ đầu ra. Do vậy, Dự thảo Luật đã bỏ quy định về “mô hình AI đa dụng” ra khỏi Luật.</w:t>
            </w:r>
          </w:p>
        </w:tc>
      </w:tr>
      <w:tr w:rsidR="00B30308" w:rsidRPr="00EE706C" w14:paraId="522E0FED"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13F1295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53</w:t>
            </w:r>
          </w:p>
        </w:tc>
        <w:tc>
          <w:tcPr>
            <w:tcW w:w="2548" w:type="dxa"/>
            <w:tcBorders>
              <w:top w:val="nil"/>
              <w:left w:val="nil"/>
              <w:bottom w:val="single" w:sz="4" w:space="0" w:color="auto"/>
              <w:right w:val="single" w:sz="4" w:space="0" w:color="auto"/>
            </w:tcBorders>
            <w:hideMark/>
          </w:tcPr>
          <w:p w14:paraId="25CABF9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Tâm Hùng (TP Hồ Chí Minh)</w:t>
            </w:r>
          </w:p>
        </w:tc>
        <w:tc>
          <w:tcPr>
            <w:tcW w:w="4394" w:type="dxa"/>
            <w:tcBorders>
              <w:top w:val="nil"/>
              <w:left w:val="nil"/>
              <w:bottom w:val="single" w:sz="4" w:space="0" w:color="auto"/>
              <w:right w:val="single" w:sz="4" w:space="0" w:color="auto"/>
            </w:tcBorders>
            <w:hideMark/>
          </w:tcPr>
          <w:p w14:paraId="1A73A601"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Về Chiến lược quốc gia về AI (Điều 18): Cần xây dựng năng lực tự chủ và hạn chế phụ thuộc công nghệ nước ngoài. "Đây là hướng đi quan trọng để xây dựng AI mang bản sắc Việt Nam phục vụ quản trị, giáo dục, y tế và dịch vụ công".</w:t>
            </w:r>
          </w:p>
          <w:p w14:paraId="6E243840" w14:textId="0AD14C95"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Bổ sung rõ chỉ tiêu tỷ lệ dữ liệu tiếng Việt và tiếng dân tộc trong hệ thống AI nền tảng quốc gia vào Chiến lược.</w:t>
            </w:r>
          </w:p>
        </w:tc>
        <w:tc>
          <w:tcPr>
            <w:tcW w:w="7087" w:type="dxa"/>
            <w:tcBorders>
              <w:top w:val="nil"/>
              <w:left w:val="nil"/>
              <w:bottom w:val="single" w:sz="4" w:space="0" w:color="auto"/>
              <w:right w:val="single" w:sz="4" w:space="0" w:color="auto"/>
            </w:tcBorders>
            <w:hideMark/>
          </w:tcPr>
          <w:p w14:paraId="7E8EE4E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Tiếp thu ý kiến của Đại biểu Quốc hội về việc xây dựng Chiến lược cần tập trung vào năng lực tự chủ công nghệ và phát triển AI mang bản sắc Việt Nam. Điều 18 đã nêu rõ Chiến lược phải được xây dựng trên cơ sở bảo đảm chủ quyền số (khoản 3 Điều 18) và khuyến khích phát triển trí tuệ nhân tạo ngôn ngữ và tri thức Việt Nam (khoản 4 Điều 18). Đối với kiến nghị về chỉ tiêu tỷ lệ dữ liệu tiếng Việt và tiếng dân tộc: nội dung này đã được Chiến lược định hướng tại khoản 4 Điều 18 và cụ thể hóa tại Điều 16 (Cơ sở dữ liệu phục vụ trí tuệ nhân tạo). Cụ thể, Thủ tướng Chính phủ ban hành Danh mục bộ dữ liệu phục vụ phát triển AI, ưu tiên dữ liệu văn hóa, ngôn ngữ tiếng Việt và tiếng dân tộc (khoản 5 Điều 16). Các chỉ tiêu định lượng cụ thể về tỷ lệ dữ liệu sẽ được quy định trong Chiến lược và văn bản hướng dẫn chi tiết, căn cứ trên cơ sở pháp lý đã được thiết lập.</w:t>
            </w:r>
          </w:p>
        </w:tc>
      </w:tr>
      <w:tr w:rsidR="00B30308" w:rsidRPr="00EE706C" w14:paraId="543B164C"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4C25E3A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54</w:t>
            </w:r>
          </w:p>
        </w:tc>
        <w:tc>
          <w:tcPr>
            <w:tcW w:w="2548" w:type="dxa"/>
            <w:tcBorders>
              <w:top w:val="nil"/>
              <w:left w:val="nil"/>
              <w:bottom w:val="single" w:sz="4" w:space="0" w:color="auto"/>
              <w:right w:val="single" w:sz="4" w:space="0" w:color="auto"/>
            </w:tcBorders>
            <w:hideMark/>
          </w:tcPr>
          <w:p w14:paraId="649BF88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Tâm Hùng (TP Hồ Chí Minh)</w:t>
            </w:r>
          </w:p>
        </w:tc>
        <w:tc>
          <w:tcPr>
            <w:tcW w:w="4394" w:type="dxa"/>
            <w:tcBorders>
              <w:top w:val="nil"/>
              <w:left w:val="nil"/>
              <w:bottom w:val="single" w:sz="4" w:space="0" w:color="auto"/>
              <w:right w:val="single" w:sz="4" w:space="0" w:color="auto"/>
            </w:tcBorders>
            <w:hideMark/>
          </w:tcPr>
          <w:p w14:paraId="4E9A31F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Về Cơ chế thử nghiệm có kiểm soát (Sandbox - Điều 20): Đề nghị mở rộng phạm vi thử nghiệm cho doanh nghiệp khởi nghiệp và viện nghiên cứu. "Cách làm này giúp rút ngắn dòng đời phát triển sản phẩm, khuyến khích đội ngũ kỹ sư và doanh nghiệp Việt Nam cạnh tranh được với các tập đoàn công nghệ ở nước ngoài".</w:t>
            </w:r>
            <w:r w:rsidRPr="00AA4A03">
              <w:rPr>
                <w:rFonts w:ascii="Times New Roman" w:eastAsia="Times New Roman" w:hAnsi="Times New Roman" w:cs="Times New Roman"/>
                <w:color w:val="000000"/>
                <w:kern w:val="0"/>
                <w:sz w:val="26"/>
                <w:szCs w:val="26"/>
                <w:lang w:val="vi-VN"/>
                <w14:ligatures w14:val="none"/>
              </w:rPr>
              <w:br/>
              <w:t xml:space="preserve">Đề xuất, kiến nghị: Coi kết quả thử nghiệm có kiểm soát là tiêu chí rút gọn khi đánh giá sự phù hợp (Điều 12), nhằm </w:t>
            </w:r>
            <w:r w:rsidRPr="00AA4A03">
              <w:rPr>
                <w:rFonts w:ascii="Times New Roman" w:eastAsia="Times New Roman" w:hAnsi="Times New Roman" w:cs="Times New Roman"/>
                <w:color w:val="000000"/>
                <w:kern w:val="0"/>
                <w:sz w:val="26"/>
                <w:szCs w:val="26"/>
                <w:lang w:val="vi-VN"/>
                <w14:ligatures w14:val="none"/>
              </w:rPr>
              <w:lastRenderedPageBreak/>
              <w:t>rút ngắn thời gian thương mại hóa sản phẩm.</w:t>
            </w:r>
          </w:p>
        </w:tc>
        <w:tc>
          <w:tcPr>
            <w:tcW w:w="7087" w:type="dxa"/>
            <w:tcBorders>
              <w:top w:val="nil"/>
              <w:left w:val="nil"/>
              <w:bottom w:val="single" w:sz="4" w:space="0" w:color="auto"/>
              <w:right w:val="single" w:sz="4" w:space="0" w:color="auto"/>
            </w:tcBorders>
            <w:hideMark/>
          </w:tcPr>
          <w:p w14:paraId="0C7C22F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ý kiến như sau: Giải trình ý kiến của Đại biểu Quốc hội. Thứ nhất, phạm vi thử nghiệm đã được xác định áp dụng cho tổ chức, cá nhân, bao gồm cả doanh nghiệp khởi nghiệp và viện nghiên cứu. Hơn nữa, khoản 5 Điều 19 quy định doanh nghiệp khởi nghiệp, nhỏ và vừa được ưu tiên tiếp cận hạ tầng kỹ thuật, dữ liệu và môi trường thử nghiệm, và khoản 4 Điều 24 quy định doanh nghiệp tham gia thử nghiệm có kiểm soát được hỗ trợ kỹ thuật và đánh giá rủi ro, thể hiện sự ưu tiên rõ ràng cho các đối tượng này. Thứ hai, đề xuất coi kết quả thử nghiệm là tiêu chí rút gọn để đánh giá sự phù hợp đã được quy định tại điểm a khoản 4 Điều 20: ""Kết quả thử nghiệm có kiểm soát được cơ quan nhà nước có thẩm quyền xác nhận là căn cứ để: Áp dụng thủ </w:t>
            </w:r>
            <w:r w:rsidRPr="00AA4A03">
              <w:rPr>
                <w:rFonts w:ascii="Times New Roman" w:eastAsia="Times New Roman" w:hAnsi="Times New Roman" w:cs="Times New Roman"/>
                <w:color w:val="000000"/>
                <w:kern w:val="0"/>
                <w:sz w:val="26"/>
                <w:szCs w:val="26"/>
                <w:lang w:val="vi-VN"/>
                <w14:ligatures w14:val="none"/>
              </w:rPr>
              <w:lastRenderedPageBreak/>
              <w:t>tục rút gọn trong đánh giá sự phù hợp hoặc chấp thuận triển khai chính thức;..."".</w:t>
            </w:r>
          </w:p>
        </w:tc>
      </w:tr>
      <w:tr w:rsidR="00B30308" w:rsidRPr="00EE706C" w14:paraId="1CE9671C"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79D33FD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55</w:t>
            </w:r>
          </w:p>
        </w:tc>
        <w:tc>
          <w:tcPr>
            <w:tcW w:w="2548" w:type="dxa"/>
            <w:tcBorders>
              <w:top w:val="nil"/>
              <w:left w:val="nil"/>
              <w:bottom w:val="single" w:sz="4" w:space="0" w:color="auto"/>
              <w:right w:val="single" w:sz="4" w:space="0" w:color="auto"/>
            </w:tcBorders>
            <w:hideMark/>
          </w:tcPr>
          <w:p w14:paraId="384614D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Tâm Hùng (TP Hồ Chí Minh)</w:t>
            </w:r>
          </w:p>
        </w:tc>
        <w:tc>
          <w:tcPr>
            <w:tcW w:w="4394" w:type="dxa"/>
            <w:tcBorders>
              <w:top w:val="nil"/>
              <w:left w:val="nil"/>
              <w:bottom w:val="single" w:sz="4" w:space="0" w:color="auto"/>
              <w:right w:val="single" w:sz="4" w:space="0" w:color="auto"/>
            </w:tcBorders>
            <w:hideMark/>
          </w:tcPr>
          <w:p w14:paraId="739988C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Về Phát triển nguồn nhân lực AI (Điều 22): Tán thành hướng tiếp cận của dự thảo. Cần nhấn mạnh trách nhiệm kết nối giữa các bên để hình thành hệ sinh thái sử dụng nhân lực. "Song, tôi đề nghị Ban soạn thảo xem xét nhấn mạnh trách nhiệm kết nối giữa cơ sở giáo dục, doanh nghiệp, cơ quan nhà nước để hình thành hệ sinh thái sử dụng nhân lực AI".</w:t>
            </w:r>
            <w:r w:rsidRPr="00AA4A03">
              <w:rPr>
                <w:rFonts w:ascii="Times New Roman" w:eastAsia="Times New Roman" w:hAnsi="Times New Roman" w:cs="Times New Roman"/>
                <w:color w:val="000000"/>
                <w:kern w:val="0"/>
                <w:sz w:val="26"/>
                <w:szCs w:val="26"/>
                <w:lang w:val="vi-VN"/>
                <w14:ligatures w14:val="none"/>
              </w:rPr>
              <w:br/>
              <w:t>Đề xuất, kiến nghị: Nhấn mạnh trách nhiệm kết nối giữa cơ sở giáo dục, doanh nghiệp, cơ quan nhà nước; đồng thời bổ sung chương trình đào tạo về quyền riêng tư, an ninh mạng và đạo đức công nghệ cho kỹ sư và nhà quản trị AI.</w:t>
            </w:r>
          </w:p>
        </w:tc>
        <w:tc>
          <w:tcPr>
            <w:tcW w:w="7087" w:type="dxa"/>
            <w:tcBorders>
              <w:top w:val="nil"/>
              <w:left w:val="nil"/>
              <w:bottom w:val="single" w:sz="4" w:space="0" w:color="auto"/>
              <w:right w:val="single" w:sz="4" w:space="0" w:color="auto"/>
            </w:tcBorders>
            <w:hideMark/>
          </w:tcPr>
          <w:p w14:paraId="642198A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Điều 22 của Dự thảo Luật đã quy định rõ trách nhiệm gắn kết cơ sở giáo dục, viện nghiên cứu, doanh nghiệp và cơ quan nhà nước trong đào tạo, phát triển và sử dụng nhân lực AI, phù hợp với cách tiếp cận hệ sinh thái mà Đại biểu đề xuất. Các yêu cầu về quyền riêng tư, an ninh mạng và đạo đức công nghệ đã được thể chế hóa ở mức nguyên tắc tại Điều 4 (đạo đức, an toàn, quyền con người), Điều 6 (bảo vệ nhóm dễ tổn thương), Điều 10 (minh bạch), Điều 13 (quản lý rủi ro), tạo cơ sở để đưa các nội dung này vào chương trình đào tạo theo thẩm quyền của Bộ Giáo dục và Đào tạo và Bộ Khoa học và Công nghệ.</w:t>
            </w:r>
            <w:r w:rsidRPr="00AA4A03">
              <w:rPr>
                <w:rFonts w:ascii="Times New Roman" w:eastAsia="Times New Roman" w:hAnsi="Times New Roman" w:cs="Times New Roman"/>
                <w:color w:val="000000"/>
                <w:kern w:val="0"/>
                <w:sz w:val="26"/>
                <w:szCs w:val="26"/>
                <w:lang w:val="vi-VN"/>
                <w14:ligatures w14:val="none"/>
              </w:rPr>
              <w:br/>
            </w:r>
            <w:r w:rsidRPr="00AA4A03">
              <w:rPr>
                <w:rFonts w:ascii="Times New Roman" w:eastAsia="Times New Roman" w:hAnsi="Times New Roman" w:cs="Times New Roman"/>
                <w:color w:val="000000"/>
                <w:kern w:val="0"/>
                <w:sz w:val="26"/>
                <w:szCs w:val="26"/>
                <w:lang w:val="vi-VN"/>
                <w14:ligatures w14:val="none"/>
              </w:rPr>
              <w:br/>
              <w:t>Do Luật AI là luật khung, các nội dung chuyên môn sâu về chương trình đào tạo sẽ được Chính phủ và bộ quản lý lĩnh vực quy định chi tiết, bảo đảm tính linh hoạt và phù hợp với yêu cầu thực tiễn; vì vậy không bổ sung trực tiếp vào Luật nhưng hoàn toàn có cơ sở pháp lý để triển khai đầy đủ như đề xuất của Đại biểu.</w:t>
            </w:r>
          </w:p>
        </w:tc>
      </w:tr>
      <w:tr w:rsidR="00B30308" w:rsidRPr="00EE706C" w14:paraId="0E72387F"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412567F3"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56</w:t>
            </w:r>
          </w:p>
        </w:tc>
        <w:tc>
          <w:tcPr>
            <w:tcW w:w="2548" w:type="dxa"/>
            <w:tcBorders>
              <w:top w:val="nil"/>
              <w:left w:val="nil"/>
              <w:bottom w:val="single" w:sz="4" w:space="0" w:color="auto"/>
              <w:right w:val="single" w:sz="4" w:space="0" w:color="auto"/>
            </w:tcBorders>
            <w:hideMark/>
          </w:tcPr>
          <w:p w14:paraId="5311B9C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Văn Cảnh - Gia Lai</w:t>
            </w:r>
          </w:p>
        </w:tc>
        <w:tc>
          <w:tcPr>
            <w:tcW w:w="4394" w:type="dxa"/>
            <w:tcBorders>
              <w:top w:val="nil"/>
              <w:left w:val="nil"/>
              <w:bottom w:val="single" w:sz="4" w:space="0" w:color="auto"/>
              <w:right w:val="single" w:sz="4" w:space="0" w:color="auto"/>
            </w:tcBorders>
            <w:hideMark/>
          </w:tcPr>
          <w:p w14:paraId="6A10113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Ủng hộ chính sách tạo điều kiện phát triển trí tuệ nhân tạo (AI) nhưng đề nghị ưu tiên quyền lợi người tiêu dùng, người dân, đặc biệt là sản phẩm có nguy cơ liên quan tới an ninh, an toàn tính mạng. Đại biểu đề xuất nâng cao trách nhiệm của nhà cung cấp/triển khai: "xem AI như đứa trẻ thì theo tôi nếu đứa trẻ gây ra hậu quả thì bố mẹ phải chịu trách nhiệm bồi thường".</w:t>
            </w:r>
            <w:r w:rsidRPr="00AA4A03">
              <w:rPr>
                <w:rFonts w:ascii="Times New Roman" w:eastAsia="Times New Roman" w:hAnsi="Times New Roman" w:cs="Times New Roman"/>
                <w:color w:val="000000"/>
                <w:kern w:val="0"/>
                <w:sz w:val="26"/>
                <w:szCs w:val="26"/>
                <w:lang w:val="vi-VN"/>
                <w14:ligatures w14:val="none"/>
              </w:rPr>
              <w:br/>
              <w:t>Đề xuất, kiến nghị: Đề nghị bổ sung một khoản vào Điều 28 về trách nhiệm bồi thường thiệt hại: "Hệ thống trí tuệ nhân tạo, hàng hóa, dịch vụ có hỗ trợ hệ thống trí tuệ nhân tạo được cung cấp cho người dùng là cá nhân nếu không có sự thỏa thuận riêng của bên cung cấp và người dùng về hệ quả của việc sử dụng hệ thống trí tuệ nhân tạo... Việc bồi thường sẽ được thực hiện theo pháp luật đối với hàng hóa, dịch vụ không có hỗ trợ của hệ tuệ AI".</w:t>
            </w:r>
          </w:p>
        </w:tc>
        <w:tc>
          <w:tcPr>
            <w:tcW w:w="7087" w:type="dxa"/>
            <w:tcBorders>
              <w:top w:val="nil"/>
              <w:left w:val="nil"/>
              <w:bottom w:val="single" w:sz="4" w:space="0" w:color="auto"/>
              <w:right w:val="single" w:sz="4" w:space="0" w:color="auto"/>
            </w:tcBorders>
            <w:hideMark/>
          </w:tcPr>
          <w:p w14:paraId="388B8C1E"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Điều 28 của Dự thảo Luật đã được thiết kế theo hướng bảo vệ tối đa người tiêu dùng, trong đó quy định: nhà cung cấp và bên triển khai chịu trách nhiệm bồi thường nếu hệ thống AI gây thiệt hại do lỗi của mình; đối với AI rủi ro cao, Luật áp dụng cơ chế bồi thường không phụ thuộc vào lỗi (khoản 3) để bảo đảm người dân không phải chứng minh lỗi của nhà cung cấp/triển khai. Đồng thời, Luật dẫn chiếu pháp luật dân sự và pháp luật về bảo vệ quyền lợi người tiêu dùng để xử lý trách nhiệm bồi thường, bảo đảm thống nhất trong toàn hệ thống pháp luật.</w:t>
            </w:r>
          </w:p>
          <w:p w14:paraId="0570EDE8" w14:textId="5ADBAD13"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bổ sung một khoản riêng như Đại biểu nêu là trùng lặp với các cơ chế đã quy định, và dễ gây hiểu lầm rằng Luật AI thiết lập một chế độ trách nhiệm dân sự đặc thù tách khỏi Bộ luật Dân sự. Thiết kế hiện hành của Điều 28 đã bao quát đầy đủ: người dân luôn được bồi thường theo nguyên tắc bảo vệ bên yếu thế, còn nhà cung cấp/triển khai phải chịu trách nhiệm tương ứng với vai trò của mình, phù hợp tinh thần “AI phải được kiểm soát và con người không gánh rủi ro thay cho công nghệ”.</w:t>
            </w:r>
          </w:p>
        </w:tc>
      </w:tr>
      <w:tr w:rsidR="00B30308" w:rsidRPr="00EE706C" w14:paraId="76708BD8"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4EEE181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57</w:t>
            </w:r>
          </w:p>
        </w:tc>
        <w:tc>
          <w:tcPr>
            <w:tcW w:w="2548" w:type="dxa"/>
            <w:tcBorders>
              <w:top w:val="nil"/>
              <w:left w:val="nil"/>
              <w:bottom w:val="single" w:sz="4" w:space="0" w:color="auto"/>
              <w:right w:val="single" w:sz="4" w:space="0" w:color="auto"/>
            </w:tcBorders>
            <w:hideMark/>
          </w:tcPr>
          <w:p w14:paraId="1F1FB7F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Nguyễn Văn Cảnh - Gia Lai</w:t>
            </w:r>
          </w:p>
        </w:tc>
        <w:tc>
          <w:tcPr>
            <w:tcW w:w="4394" w:type="dxa"/>
            <w:tcBorders>
              <w:top w:val="nil"/>
              <w:left w:val="nil"/>
              <w:bottom w:val="single" w:sz="4" w:space="0" w:color="auto"/>
              <w:right w:val="single" w:sz="4" w:space="0" w:color="auto"/>
            </w:tcBorders>
            <w:hideMark/>
          </w:tcPr>
          <w:p w14:paraId="1EE0AD9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Bày tỏ quan ngại về khả năng bên triển khai tự xác định được khi nào việc sửa đổi, tích hợp hoặc thay đổi chức năng hệ thống AI "làm phát sinh rủi ro mới hoặc rủi ro cao hơn". Đại biểu đặt câu hỏi: "làm sao biết chắc được bên triển khai hiểu được sự thay đổi tích hợp hoặc thay đổi chức năng làm phát sinh rủi ro mới hoặc rủi ro cao".</w:t>
            </w:r>
            <w:r w:rsidRPr="00AA4A03">
              <w:rPr>
                <w:rFonts w:ascii="Times New Roman" w:eastAsia="Times New Roman" w:hAnsi="Times New Roman" w:cs="Times New Roman"/>
                <w:color w:val="000000"/>
                <w:kern w:val="0"/>
                <w:sz w:val="26"/>
                <w:szCs w:val="26"/>
                <w:lang w:val="vi-VN"/>
                <w14:ligatures w14:val="none"/>
              </w:rPr>
              <w:br/>
              <w:t>Đề xuất, kiến nghị: Đề nghị chỉnh lý khoản 2 Điều 9 theo hướng quy định mặc nhiên yêu cầu bên triển khai phải phối hợp với nhà cung cấp thực hiện phân loại lại, nếu bên triển khai thực hiện sửa đổi, tích hợp hoặc thay đổi chức năng.</w:t>
            </w:r>
          </w:p>
        </w:tc>
        <w:tc>
          <w:tcPr>
            <w:tcW w:w="7087" w:type="dxa"/>
            <w:tcBorders>
              <w:top w:val="nil"/>
              <w:left w:val="nil"/>
              <w:bottom w:val="single" w:sz="4" w:space="0" w:color="auto"/>
              <w:right w:val="single" w:sz="4" w:space="0" w:color="auto"/>
            </w:tcBorders>
            <w:hideMark/>
          </w:tcPr>
          <w:p w14:paraId="2C7011D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chia sẻ quan ngại về việc bên triển khai có thể không nhận diện đầy đủ khi việc sửa đổi, tích hợp hoặc thay đổi chức năng làm phát sinh rủi ro mới hoặc rủi ro cao hơn. Tuy nhiên, để tránh phát sinh thủ tục hành chính và bảo đảm tính linh hoạt, Dự thảo Luật không quy định cơ chế “mặc nhiên bắt buộc phối hợp lại với nhà cung cấp”, mà xử lý vấn đề này bằng nghĩa vụ pháp lý hiện hành. Cụ thể, Điều 9 yêu cầu bên triển khai phải tự đánh giá và phân loại lại khi có thay đổi về chức năng, phạm vi ứng dụng hoặc đặc tính vận hành; Điều 10 buộc công khai lại thông tin phân loại để Nhà nước thực hiện hậu kiểm; và Điều 13 quy định rằng nếu thay đổi dẫn đến hệ thống trở thành AI rủi ro cao, bên triển khai bắt buộc phải đáp ứng đầy đủ nghĩa vụ quản lý rủi ro, đánh giá an toàn và chứng nhận sự phù hợp trước khi tiếp tục vận hành. Thiết kế này bảo đảm trách nhiệm thuộc về bên triển khai nhưng không làm phát sinh cơ chế xin–cho, đồng thời vẫn khuyến khích phối hợp với nhà cung cấp về mặt chuyên môn khi cần thiết.</w:t>
            </w:r>
          </w:p>
        </w:tc>
      </w:tr>
      <w:tr w:rsidR="00B30308" w:rsidRPr="00EE706C" w14:paraId="3E4A6566"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56B1C3BF"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58</w:t>
            </w:r>
          </w:p>
        </w:tc>
        <w:tc>
          <w:tcPr>
            <w:tcW w:w="2548" w:type="dxa"/>
            <w:tcBorders>
              <w:top w:val="nil"/>
              <w:left w:val="nil"/>
              <w:bottom w:val="single" w:sz="4" w:space="0" w:color="auto"/>
              <w:right w:val="single" w:sz="4" w:space="0" w:color="auto"/>
            </w:tcBorders>
            <w:hideMark/>
          </w:tcPr>
          <w:p w14:paraId="7CAF4DF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ĐBQH Phạm Trọng Nghĩa (Lạng Sơn)</w:t>
            </w:r>
          </w:p>
        </w:tc>
        <w:tc>
          <w:tcPr>
            <w:tcW w:w="4394" w:type="dxa"/>
            <w:tcBorders>
              <w:top w:val="nil"/>
              <w:left w:val="nil"/>
              <w:bottom w:val="single" w:sz="4" w:space="0" w:color="auto"/>
              <w:right w:val="single" w:sz="4" w:space="0" w:color="auto"/>
            </w:tcBorders>
            <w:hideMark/>
          </w:tcPr>
          <w:p w14:paraId="6C4F569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Nội dung góp ý chính: Đánh giá cao tính cần thiết của việc nâng cấp Chương IV Luật Công nghiệp công nghệ số thành dự án Luật Trí tuệ nhân tạo. Nhất trí với quan điểm tiếp cận cân bằng giữa thúc đẩy đổi mới sáng tạo (thị trường) và phòng ngừa rủi ro (bảo vệ người sử dụng). Trích dẫn: "Phát triển AI bền vững đòi hỏi một hệ sinh thái trong đó Nhà nước tạo luật chơi, thị trường là </w:t>
            </w:r>
            <w:r w:rsidRPr="00AA4A03">
              <w:rPr>
                <w:rFonts w:ascii="Times New Roman" w:eastAsia="Times New Roman" w:hAnsi="Times New Roman" w:cs="Times New Roman"/>
                <w:color w:val="000000"/>
                <w:kern w:val="0"/>
                <w:sz w:val="26"/>
                <w:szCs w:val="26"/>
                <w:lang w:val="vi-VN"/>
                <w14:ligatures w14:val="none"/>
              </w:rPr>
              <w:lastRenderedPageBreak/>
              <w:t>người chơi và xã hội là người giám sát".</w:t>
            </w:r>
            <w:r w:rsidRPr="00AA4A03">
              <w:rPr>
                <w:rFonts w:ascii="Times New Roman" w:eastAsia="Times New Roman" w:hAnsi="Times New Roman" w:cs="Times New Roman"/>
                <w:color w:val="000000"/>
                <w:kern w:val="0"/>
                <w:sz w:val="26"/>
                <w:szCs w:val="26"/>
                <w:lang w:val="vi-VN"/>
                <w14:ligatures w14:val="none"/>
              </w:rPr>
              <w:br/>
              <w:t>Đề xuất, kiến nghị: 1. Tiếp tục rà soát, làm rõ tính vượt trội trong các quy định của dự thảo luật so với các quốc gia khác để nâng cao năng lực cạnh tranh quốc gia. 2. Bổ sung quy định ưu đãi, ưu tiên sử dụng AI Việt, với quan điểm Nhà nước là khách hàng tiên phong.</w:t>
            </w:r>
          </w:p>
        </w:tc>
        <w:tc>
          <w:tcPr>
            <w:tcW w:w="7087" w:type="dxa"/>
            <w:tcBorders>
              <w:top w:val="nil"/>
              <w:left w:val="nil"/>
              <w:bottom w:val="single" w:sz="4" w:space="0" w:color="auto"/>
              <w:right w:val="single" w:sz="4" w:space="0" w:color="auto"/>
            </w:tcBorders>
            <w:hideMark/>
          </w:tcPr>
          <w:p w14:paraId="3ABAF3B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ý kiến như sau: Cơ quan soạn thảo trân trọng cảm ơn ý kiến đánh giá về cách tiếp cận hài hòa giữa phát triển và an toàn. Nguyên tắc phát triển tự chủ, nâng cao năng lực cạnh tranh đã được quy định tại khoản 5 Điều 4: “Thúc đẩy đổi mới sáng tạo gắn với phát triển xanh... phát triển tự chủ, phù hợp với chuẩn mực quốc tế”. Về chính sách cụ thể ưu tiên sử dụng sản phẩm AI Việt, đây là một trong những giải pháp kiến tạo phát triển trọng tâm của Luật. Chính sách này đã được quy định rõ tại Điều 19 khoản 2 điểm a: “Ưu tiên sử dụng sản phẩm, dịch vụ trí tuệ nhân tạo do tổ chức, cá nhân trong nước phát triển và làm </w:t>
            </w:r>
            <w:r w:rsidRPr="00AA4A03">
              <w:rPr>
                <w:rFonts w:ascii="Times New Roman" w:eastAsia="Times New Roman" w:hAnsi="Times New Roman" w:cs="Times New Roman"/>
                <w:color w:val="000000"/>
                <w:kern w:val="0"/>
                <w:sz w:val="26"/>
                <w:szCs w:val="26"/>
                <w:lang w:val="vi-VN"/>
                <w14:ligatures w14:val="none"/>
              </w:rPr>
              <w:lastRenderedPageBreak/>
              <w:t>chủ công nghệ theo quy định của pháp luật về đấu thầu và mua sắm công”. Đồng thời, Điều 5 khoản 5 quy định Nhà nước ưu tiên ứng dụng AI trong hoạt động quản lý, điều hành và cung cấp dịch vụ công nhằm nâng cao hiệu quả.</w:t>
            </w:r>
          </w:p>
        </w:tc>
      </w:tr>
      <w:tr w:rsidR="00B30308" w:rsidRPr="00EE706C" w14:paraId="07E67425"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4720C97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59</w:t>
            </w:r>
          </w:p>
        </w:tc>
        <w:tc>
          <w:tcPr>
            <w:tcW w:w="2548" w:type="dxa"/>
            <w:tcBorders>
              <w:top w:val="nil"/>
              <w:left w:val="nil"/>
              <w:bottom w:val="single" w:sz="4" w:space="0" w:color="auto"/>
              <w:right w:val="single" w:sz="4" w:space="0" w:color="auto"/>
            </w:tcBorders>
            <w:hideMark/>
          </w:tcPr>
          <w:p w14:paraId="4FDE3BD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ĐBQH Phạm Trọng Nghĩa (Lạng Sơn)</w:t>
            </w:r>
          </w:p>
        </w:tc>
        <w:tc>
          <w:tcPr>
            <w:tcW w:w="4394" w:type="dxa"/>
            <w:tcBorders>
              <w:top w:val="nil"/>
              <w:left w:val="nil"/>
              <w:bottom w:val="single" w:sz="4" w:space="0" w:color="auto"/>
              <w:right w:val="single" w:sz="4" w:space="0" w:color="auto"/>
            </w:tcBorders>
            <w:hideMark/>
          </w:tcPr>
          <w:p w14:paraId="1C2AF754"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Cảnh báo về việc lạm dụng AI tiềm ẩn nhiều bất ổn, đặc biệt trong khu vực công, dẫn đến giảm tính nhân văn và hiệu quả của chính sách, pháp luật. Việc cung cấp dữ liệu nhạy cảm vào AI nếu không kiểm soát chặt có thể rò rỉ, gây tổn hại an ninh quốc gia. Lo ngại AI không trung lập và có thể bị bẻ lái phục vụ mục đích của người phát triển/sở hữu công nghệ (thường ở nước ngoài). Trích dẫn: "AI không trung lập, AI là công cụ của người tạo ra nó, có những việc mà người dùng không biết nhưng người phát triển hay người sở hữu công nghệ lại biết".</w:t>
            </w:r>
          </w:p>
          <w:p w14:paraId="1BAA7DE0" w14:textId="61B29C81"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Đề xuất, kiến nghị: 1. Bổ sung một điều quy định về hành vi bị nghiêm cấm, </w:t>
            </w:r>
            <w:r w:rsidRPr="00AA4A03">
              <w:rPr>
                <w:rFonts w:ascii="Times New Roman" w:eastAsia="Times New Roman" w:hAnsi="Times New Roman" w:cs="Times New Roman"/>
                <w:color w:val="000000"/>
                <w:kern w:val="0"/>
                <w:sz w:val="26"/>
                <w:szCs w:val="26"/>
                <w:lang w:val="vi-VN"/>
                <w14:ligatures w14:val="none"/>
              </w:rPr>
              <w:lastRenderedPageBreak/>
              <w:t>trong đó cấm lạm dụng AI trong khu vực công. 2. Đề nghị Chính phủ sớm ban hành quy định về trách nhiệm khi sử dụng AI trong công vụ và ban hành khung đạo đức trí tuệ nhân tạo.</w:t>
            </w:r>
          </w:p>
        </w:tc>
        <w:tc>
          <w:tcPr>
            <w:tcW w:w="7087" w:type="dxa"/>
            <w:tcBorders>
              <w:top w:val="nil"/>
              <w:left w:val="nil"/>
              <w:bottom w:val="single" w:sz="4" w:space="0" w:color="auto"/>
              <w:right w:val="single" w:sz="4" w:space="0" w:color="auto"/>
            </w:tcBorders>
            <w:hideMark/>
          </w:tcPr>
          <w:p w14:paraId="76ABBAE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như sau: Cơ quan chủ trì soạn thảo thống nhất với nhận định rằng việc sử dụng AI trong khu vực công phải bảo đảm an toàn, tránh lạm dụng và bảo vệ quyền, lợi ích hợp pháp của người dân. Tuy nhiên, Dự thảo Luật đã quy định đầy đủ cơ chế ngăn ngừa lạm dụng AI trong hoạt động công vụ, cụ thể: Điểm a khoản 2 Điều 6 cấm thiết kế, phát triển, triển khai hoặc sử dụng AI nhằm thực hiện hành vi bị pháp luật nghiêm cấm; Điều 26 quy định rõ trách nhiệm giải trình, minh bạch và bảo đảm khả năng kiểm soát con người đối với các quyết định hành chính có hỗ trợ AI; và Điều 4 đặt ra nguyên tắc “AI không thay thế trách nhiệm của con người”. Bên cạnh đó, các hành vi vi phạm nghĩa vụ công vụ vẫn được điều chỉnh theo Luật Cán bộ, công chức và pháp luật có liên quan. Do vậy, việc thêm một hành vi cấm riêng đối với khu vực công là không cần thiết, dễ dẫn đến trùng lặp và phá vỡ tính khái quát của Điều 6. Kiến nghị của Đại biểu về trách nhiệm công vụ và khung đạo đức trí tuệ nhân tạo sẽ được Chính phủ quy định </w:t>
            </w:r>
            <w:r w:rsidRPr="00AA4A03">
              <w:rPr>
                <w:rFonts w:ascii="Times New Roman" w:eastAsia="Times New Roman" w:hAnsi="Times New Roman" w:cs="Times New Roman"/>
                <w:color w:val="000000"/>
                <w:kern w:val="0"/>
                <w:sz w:val="26"/>
                <w:szCs w:val="26"/>
                <w:lang w:val="vi-VN"/>
                <w14:ligatures w14:val="none"/>
              </w:rPr>
              <w:lastRenderedPageBreak/>
              <w:t>chi tiết trong văn bản dưới luật để bảo đảm tính linh hoạt và phù hợp với thực tiễn triển khai.</w:t>
            </w:r>
          </w:p>
        </w:tc>
      </w:tr>
      <w:tr w:rsidR="00B30308" w:rsidRPr="00EE706C" w14:paraId="0FF9B9F9" w14:textId="77777777" w:rsidTr="00B56CCF">
        <w:trPr>
          <w:trHeight w:val="690"/>
        </w:trPr>
        <w:tc>
          <w:tcPr>
            <w:tcW w:w="708" w:type="dxa"/>
            <w:tcBorders>
              <w:top w:val="nil"/>
              <w:left w:val="single" w:sz="4" w:space="0" w:color="auto"/>
              <w:bottom w:val="single" w:sz="4" w:space="0" w:color="auto"/>
              <w:right w:val="single" w:sz="4" w:space="0" w:color="auto"/>
            </w:tcBorders>
            <w:hideMark/>
          </w:tcPr>
          <w:p w14:paraId="2F0255E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60</w:t>
            </w:r>
          </w:p>
        </w:tc>
        <w:tc>
          <w:tcPr>
            <w:tcW w:w="2548" w:type="dxa"/>
            <w:tcBorders>
              <w:top w:val="nil"/>
              <w:left w:val="nil"/>
              <w:bottom w:val="single" w:sz="4" w:space="0" w:color="auto"/>
              <w:right w:val="single" w:sz="4" w:space="0" w:color="auto"/>
            </w:tcBorders>
            <w:hideMark/>
          </w:tcPr>
          <w:p w14:paraId="07A5798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ĐBQH Phạm Trọng Nghĩa (Lạng Sơn)</w:t>
            </w:r>
          </w:p>
        </w:tc>
        <w:tc>
          <w:tcPr>
            <w:tcW w:w="4394" w:type="dxa"/>
            <w:tcBorders>
              <w:top w:val="nil"/>
              <w:left w:val="nil"/>
              <w:bottom w:val="single" w:sz="4" w:space="0" w:color="auto"/>
              <w:right w:val="single" w:sz="4" w:space="0" w:color="auto"/>
            </w:tcBorders>
            <w:hideMark/>
          </w:tcPr>
          <w:p w14:paraId="7234BD6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Thấy rằng việc xác định trách nhiệm pháp lý của AI là hết sức quan trọng, nhưng dự thảo chưa xác định cụ thể chủ thể chịu trách nhiệm đối với vi phạm hình sự và hành chính. Đối với trách nhiệm dân sự, dự thảo chưa xác định ai là chủ sở hữu/người chiếm hữu AI giữa các bên (phát triển, cung cấp, triển khai, sử dụng) để áp dụng chế định bồi thường ngoài hợp đồng. Trích dẫn: "Dự thảo lại chưa xác định ai là chủ sở hữu, ai là người chiếm hữu của AI, giữa người phát triển, người cung cấp, người triển khai và người sử dụng".</w:t>
            </w:r>
            <w:r w:rsidRPr="00AA4A03">
              <w:rPr>
                <w:rFonts w:ascii="Times New Roman" w:eastAsia="Times New Roman" w:hAnsi="Times New Roman" w:cs="Times New Roman"/>
                <w:color w:val="000000"/>
                <w:kern w:val="0"/>
                <w:sz w:val="26"/>
                <w:szCs w:val="26"/>
                <w:lang w:val="vi-VN"/>
                <w14:ligatures w14:val="none"/>
              </w:rPr>
              <w:br/>
              <w:t xml:space="preserve">Đề xuất, kiến nghị: Đề nghị xem xét quy </w:t>
            </w:r>
            <w:r w:rsidRPr="00AA4A03">
              <w:rPr>
                <w:rFonts w:ascii="Times New Roman" w:eastAsia="Times New Roman" w:hAnsi="Times New Roman" w:cs="Times New Roman"/>
                <w:color w:val="000000"/>
                <w:kern w:val="0"/>
                <w:sz w:val="26"/>
                <w:szCs w:val="26"/>
                <w:lang w:val="vi-VN"/>
                <w14:ligatures w14:val="none"/>
              </w:rPr>
              <w:lastRenderedPageBreak/>
              <w:t>định cụ thể hơn về trách nhiệm pháp lý (hình sự, hành chính và dân sự). Cụ thể: 1. Xác định rõ AI không phải là chủ thể pháp lý, khẳng định trách nhiệm pháp lý của con người. 2. Quy định trách nhiệm pháp lý của 3 nhóm chủ thể: bên triển khai, nhà cung cấp, nhà phát triển. 3. Bổ sung quy định về bảo hiểm trách nhiệm đối với việc phát triển và sử dụng AI.</w:t>
            </w:r>
          </w:p>
        </w:tc>
        <w:tc>
          <w:tcPr>
            <w:tcW w:w="7087" w:type="dxa"/>
            <w:tcBorders>
              <w:top w:val="nil"/>
              <w:left w:val="nil"/>
              <w:bottom w:val="single" w:sz="4" w:space="0" w:color="auto"/>
              <w:right w:val="single" w:sz="4" w:space="0" w:color="auto"/>
            </w:tcBorders>
            <w:hideMark/>
          </w:tcPr>
          <w:p w14:paraId="7C1BCE92"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Ban soạn thảo trân trọng cảm ơn ý kiến của Đại biểu.</w:t>
            </w:r>
            <w:r w:rsidRPr="00AA4A03">
              <w:rPr>
                <w:rFonts w:ascii="Times New Roman" w:eastAsia="Times New Roman" w:hAnsi="Times New Roman" w:cs="Times New Roman"/>
                <w:color w:val="000000"/>
                <w:kern w:val="0"/>
                <w:sz w:val="26"/>
                <w:szCs w:val="26"/>
                <w:lang w:val="vi-VN"/>
                <w14:ligatures w14:val="none"/>
              </w:rPr>
              <w:br/>
              <w:t>Thứ nhất, về trách nhiệm hình sự và hành chính: Dự thảo Luật đã quy định rõ tại khoản 4 Điều 3 rằng AI không phải là chủ thể pháp lý, do đó mọi trách nhiệm pháp lý, bao gồm hình sự và hành chính, thuộc về tổ chức, cá nhân liên quan theo quy định của pháp luật hiện hành. Nghị định xử phạt hành chính và Bộ luật Hình sự điều chỉnh trực tiếp từng hành vi vi phạm, bảo đảm không có khoảng trống pháp lý.</w:t>
            </w:r>
          </w:p>
          <w:p w14:paraId="76323EB2"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Thứ hai, về trách nhiệm dân sự và xác định chủ thể “sở hữu/chiếm hữu” AI: Dự thảo Luật không áp dụng khái niệm “sở hữu vật thể” cho hệ thống AI, mà xác định trách nhiệm theo vai trò trong chuỗi giá trị, đã được phân định rõ tại Điều 10 (nhà cung cấp, bên triển khai), Điều 11 (nhà phát triển), và Điều 13 (AI rủi ro cao). Điều 28 quy định cơ chế bồi thường thiệt hại tương ứng với mức độ lỗi; riêng với hệ thống AI rủi ro cao, áp dụng cơ chế bồi thường không </w:t>
            </w:r>
            <w:r w:rsidRPr="00AA4A03">
              <w:rPr>
                <w:rFonts w:ascii="Times New Roman" w:eastAsia="Times New Roman" w:hAnsi="Times New Roman" w:cs="Times New Roman"/>
                <w:color w:val="000000"/>
                <w:kern w:val="0"/>
                <w:sz w:val="26"/>
                <w:szCs w:val="26"/>
                <w:lang w:val="vi-VN"/>
                <w14:ligatures w14:val="none"/>
              </w:rPr>
              <w:lastRenderedPageBreak/>
              <w:t>phụ thuộc lỗi, ưu tiên bảo vệ người dân. Trong trường hợp “mọi bên đều không có lỗi”, pháp luật dân sự cho phép áp dụng nguyên tắc: bên triển khai bồi thường trước, sau đó các chủ thể hoàn trả cho nhau theo thỏa thuận hợp đồng, bảo đảm người bị thiệt hại luôn được bồi thường kịp thời.</w:t>
            </w:r>
          </w:p>
          <w:p w14:paraId="6A40D369"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Thứ ba, về đề xuất bắt buộc bảo hiểm trách nhiệm: Dự thảo Luật không quy định cứng để bảo đảm tính linh hoạt và thống nhất với pháp luật về bảo hiểm; tuy nhiên Điều 13 và Điều 20 đã tạo cơ sở pháp lý đầy đủ để Chính phủ quy định bảo hiểm trách nhiệm bắt buộc đối với AI rủi ro cao khi cần thiết.</w:t>
            </w:r>
          </w:p>
          <w:p w14:paraId="6C533EE8" w14:textId="000566AE"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Như vậy, cấu trúc hiện hành của Luật đã xác định rõ trách nhiệm pháp lý của con người, phân định trách nhiệm giữa nhà phát triển – nhà cung cấp – bên triển khai, và không để xảy ra khoảng trống pháp lý như Đại biểu lo ngại.</w:t>
            </w:r>
          </w:p>
        </w:tc>
      </w:tr>
      <w:tr w:rsidR="00B30308" w:rsidRPr="00EE706C" w14:paraId="121279F1" w14:textId="77777777" w:rsidTr="00AA4A03">
        <w:trPr>
          <w:trHeight w:val="2304"/>
        </w:trPr>
        <w:tc>
          <w:tcPr>
            <w:tcW w:w="708" w:type="dxa"/>
            <w:tcBorders>
              <w:top w:val="nil"/>
              <w:left w:val="single" w:sz="4" w:space="0" w:color="auto"/>
              <w:bottom w:val="single" w:sz="4" w:space="0" w:color="auto"/>
              <w:right w:val="single" w:sz="4" w:space="0" w:color="auto"/>
            </w:tcBorders>
            <w:hideMark/>
          </w:tcPr>
          <w:p w14:paraId="7A60515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61</w:t>
            </w:r>
          </w:p>
        </w:tc>
        <w:tc>
          <w:tcPr>
            <w:tcW w:w="2548" w:type="dxa"/>
            <w:tcBorders>
              <w:top w:val="nil"/>
              <w:left w:val="nil"/>
              <w:bottom w:val="single" w:sz="4" w:space="0" w:color="auto"/>
              <w:right w:val="single" w:sz="4" w:space="0" w:color="auto"/>
            </w:tcBorders>
            <w:hideMark/>
          </w:tcPr>
          <w:p w14:paraId="5C1E105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ĐBQH Phạm Trọng Nghĩa (Lạng Sơn)</w:t>
            </w:r>
          </w:p>
        </w:tc>
        <w:tc>
          <w:tcPr>
            <w:tcW w:w="4394" w:type="dxa"/>
            <w:tcBorders>
              <w:top w:val="nil"/>
              <w:left w:val="nil"/>
              <w:bottom w:val="single" w:sz="4" w:space="0" w:color="auto"/>
              <w:right w:val="single" w:sz="4" w:space="0" w:color="auto"/>
            </w:tcBorders>
            <w:hideMark/>
          </w:tcPr>
          <w:p w14:paraId="08658BE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Lo ngại về an ninh nguồn nước do AI hiện đại và trung tâm dữ liệu tiêu thụ lượng nước khổng lồ để làm mát. Nguồn nước ngọt ở Việt Nam đang đối mặt với ô nhiễm, cạn kiệt ở đô thị và khu công nghiệp. Trích dẫn: "Các mô hình trí tuệ nhân tạo hiện đại không chỉ tiêu thụ một lượng điện khổng lồ mà còn phụ thuộc đáng kể vào nước để làm mát và duy trì hoạt động ổn định".</w:t>
            </w:r>
            <w:r w:rsidRPr="00AA4A03">
              <w:rPr>
                <w:rFonts w:ascii="Times New Roman" w:eastAsia="Times New Roman" w:hAnsi="Times New Roman" w:cs="Times New Roman"/>
                <w:color w:val="000000"/>
                <w:kern w:val="0"/>
                <w:sz w:val="26"/>
                <w:szCs w:val="26"/>
                <w:lang w:val="vi-VN"/>
                <w14:ligatures w14:val="none"/>
              </w:rPr>
              <w:br/>
              <w:t xml:space="preserve">Đề xuất, kiến nghị: Đề nghị xem xét bổ </w:t>
            </w:r>
            <w:r w:rsidRPr="00AA4A03">
              <w:rPr>
                <w:rFonts w:ascii="Times New Roman" w:eastAsia="Times New Roman" w:hAnsi="Times New Roman" w:cs="Times New Roman"/>
                <w:color w:val="000000"/>
                <w:kern w:val="0"/>
                <w:sz w:val="26"/>
                <w:szCs w:val="26"/>
                <w:lang w:val="vi-VN"/>
                <w14:ligatures w14:val="none"/>
              </w:rPr>
              <w:lastRenderedPageBreak/>
              <w:t>sung vào khoản 6 Điều 4 nguyên tắc sử dụng nguồn nước hiệu quả, tiết kiệm.</w:t>
            </w:r>
          </w:p>
        </w:tc>
        <w:tc>
          <w:tcPr>
            <w:tcW w:w="7087" w:type="dxa"/>
            <w:tcBorders>
              <w:top w:val="nil"/>
              <w:left w:val="nil"/>
              <w:bottom w:val="single" w:sz="4" w:space="0" w:color="auto"/>
              <w:right w:val="single" w:sz="4" w:space="0" w:color="auto"/>
            </w:tcBorders>
            <w:hideMark/>
          </w:tcPr>
          <w:p w14:paraId="3AB4325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Cơ quan chủ trì soạn thảo xin trả lời ý kiến như sau: Cơ quan soạn thảo tiếp thu nội dung này. Nguyên tắc phát triển xanh và bền vững đã được quy định tại khoản 5 Điều 4, trong đó yêu cầu AI phải “sử dụng hiệu quả năng lượng, bảo vệ môi trường và ứng phó biến đổi khí hậu”. Cách tiếp cận này bảo đảm mục tiêu kiểm soát chặt chẽ AI mà vẫn phù hợp với thông lệ quốc tế và thực tiễn công nghệ.</w:t>
            </w:r>
          </w:p>
        </w:tc>
      </w:tr>
      <w:tr w:rsidR="00B30308" w:rsidRPr="00EE706C" w14:paraId="0F96210E"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69DCCEF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62</w:t>
            </w:r>
          </w:p>
        </w:tc>
        <w:tc>
          <w:tcPr>
            <w:tcW w:w="2548" w:type="dxa"/>
            <w:tcBorders>
              <w:top w:val="nil"/>
              <w:left w:val="nil"/>
              <w:bottom w:val="single" w:sz="4" w:space="0" w:color="auto"/>
              <w:right w:val="single" w:sz="4" w:space="0" w:color="auto"/>
            </w:tcBorders>
            <w:hideMark/>
          </w:tcPr>
          <w:p w14:paraId="56FBDCD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ĐBQH Phạm Trọng Nghĩa (Lạng Sơn)</w:t>
            </w:r>
          </w:p>
        </w:tc>
        <w:tc>
          <w:tcPr>
            <w:tcW w:w="4394" w:type="dxa"/>
            <w:tcBorders>
              <w:top w:val="nil"/>
              <w:left w:val="nil"/>
              <w:bottom w:val="single" w:sz="4" w:space="0" w:color="auto"/>
              <w:right w:val="single" w:sz="4" w:space="0" w:color="auto"/>
            </w:tcBorders>
            <w:hideMark/>
          </w:tcPr>
          <w:p w14:paraId="17536C5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xuất Chính phủ cần tích cực tham gia định hình khung pháp lý về AI trong môi trường quốc tế để bảo vệ lợi ích quốc gia từ sớm, từ xa. Trích dẫn: "kính đề nghị Chính phủ chỉ đạo nghiên cứu, đề xuất xây dựng điều ước quốc tế khu vực và toàn cầu về AI để Việt Nam tích cực tham gia".</w:t>
            </w:r>
            <w:r w:rsidRPr="00AA4A03">
              <w:rPr>
                <w:rFonts w:ascii="Times New Roman" w:eastAsia="Times New Roman" w:hAnsi="Times New Roman" w:cs="Times New Roman"/>
                <w:color w:val="000000"/>
                <w:kern w:val="0"/>
                <w:sz w:val="26"/>
                <w:szCs w:val="26"/>
                <w:lang w:val="vi-VN"/>
                <w14:ligatures w14:val="none"/>
              </w:rPr>
              <w:br/>
              <w:t>Đề xuất, kiến nghị: Chỉ đạo nghiên cứu, đề xuất xây dựng điều ước quốc tế khu vực và toàn cầu về AI.</w:t>
            </w:r>
          </w:p>
        </w:tc>
        <w:tc>
          <w:tcPr>
            <w:tcW w:w="7087" w:type="dxa"/>
            <w:tcBorders>
              <w:top w:val="nil"/>
              <w:left w:val="nil"/>
              <w:bottom w:val="single" w:sz="4" w:space="0" w:color="auto"/>
              <w:right w:val="single" w:sz="4" w:space="0" w:color="auto"/>
            </w:tcBorders>
            <w:hideMark/>
          </w:tcPr>
          <w:p w14:paraId="7670D9D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Giải trình ý kiến của Đại biểu Quốc hội, Ban soạn thảo khẳng định việc chủ động tham gia, định hình khung pháp lý quốc tế về trí tuệ nhân tạo là cần thiết để bảo vệ lợi ích quốc gia. Dự thảo Luật đã quy định nội dung hợp tác quốc tế về AI tại Điều 31 và quy định trách nhiệm quản lý nhà nước, bao gồm vai trò của Chính phủ và Bộ Khoa học và Công nghệ, tại Điều 32. Việc đàm phán, ký kết hay đề xuất xây dựng điều ước quốc tế thuộc thẩm quyền cơ quan nhà nước có thẩm quyền theo Luật Điều ước quốc tế, trong đó Chính phủ có trách </w:t>
            </w:r>
            <w:r w:rsidRPr="00AA4A03">
              <w:rPr>
                <w:rFonts w:ascii="Times New Roman" w:eastAsia="Times New Roman" w:hAnsi="Times New Roman" w:cs="Times New Roman"/>
                <w:color w:val="000000"/>
                <w:kern w:val="0"/>
                <w:sz w:val="26"/>
                <w:szCs w:val="26"/>
                <w:lang w:val="vi-VN"/>
                <w14:ligatures w14:val="none"/>
              </w:rPr>
              <w:br/>
              <w:t>nhiệm tổ chức đàm phán và đề xuất theo phân công; do đó dự thảo không quy định chi tiết nội dung này trong Điều 5 để đảm bảo thống nhất hệ thống pháp luật. Trên cơ sở đó, Chính phủ sẽ được chỉ đạo chủ động nghiên cứu, đề xuất và tham gia các cơ chế hợp tác quốc tế về AI nhằm “bảo vệ lợi ích quốc gia từ sớm, từ xa” như ĐBQH đề nghị.</w:t>
            </w:r>
          </w:p>
        </w:tc>
      </w:tr>
      <w:tr w:rsidR="00B30308" w:rsidRPr="00EE706C" w14:paraId="33EC3979" w14:textId="77777777" w:rsidTr="00AA4A03">
        <w:trPr>
          <w:trHeight w:val="2016"/>
        </w:trPr>
        <w:tc>
          <w:tcPr>
            <w:tcW w:w="708" w:type="dxa"/>
            <w:tcBorders>
              <w:top w:val="nil"/>
              <w:left w:val="single" w:sz="4" w:space="0" w:color="auto"/>
              <w:bottom w:val="single" w:sz="4" w:space="0" w:color="auto"/>
              <w:right w:val="single" w:sz="4" w:space="0" w:color="auto"/>
            </w:tcBorders>
            <w:hideMark/>
          </w:tcPr>
          <w:p w14:paraId="0D7ECA9D"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63</w:t>
            </w:r>
          </w:p>
        </w:tc>
        <w:tc>
          <w:tcPr>
            <w:tcW w:w="2548" w:type="dxa"/>
            <w:tcBorders>
              <w:top w:val="nil"/>
              <w:left w:val="nil"/>
              <w:bottom w:val="single" w:sz="4" w:space="0" w:color="auto"/>
              <w:right w:val="single" w:sz="4" w:space="0" w:color="auto"/>
            </w:tcBorders>
            <w:hideMark/>
          </w:tcPr>
          <w:p w14:paraId="542FA92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4379E96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Luật cần đi nhanh nhưng an toàn để không bị bỏ lại phía sau, tránh tình trạng Việt Nam chỉ là nơi tiêu thụ dữ liệu và ứng dụng AI của nước ngoài, đe dọa chủ quyền số. Đề nghị đổi tên Luật để bao quát hơn về phạm vi quản lý.</w:t>
            </w:r>
            <w:r w:rsidRPr="00AA4A03">
              <w:rPr>
                <w:rFonts w:ascii="Times New Roman" w:eastAsia="Times New Roman" w:hAnsi="Times New Roman" w:cs="Times New Roman"/>
                <w:color w:val="000000"/>
                <w:kern w:val="0"/>
                <w:sz w:val="26"/>
                <w:szCs w:val="26"/>
                <w:lang w:val="vi-VN"/>
                <w14:ligatures w14:val="none"/>
              </w:rPr>
              <w:br/>
              <w:t>Đề xuất, kiến nghị: Kiến nghị đổi tên Luật từ "Luật Trí tuệ nhân tạo" thành "Luật Hệ thống trí tuệ nhân tạo" để thể hiện đầy đủ phạm vi quản lý và trách nhiệm, tránh cách hiểu giản lược.</w:t>
            </w:r>
          </w:p>
        </w:tc>
        <w:tc>
          <w:tcPr>
            <w:tcW w:w="7087" w:type="dxa"/>
            <w:tcBorders>
              <w:top w:val="nil"/>
              <w:left w:val="nil"/>
              <w:bottom w:val="single" w:sz="4" w:space="0" w:color="auto"/>
              <w:right w:val="single" w:sz="4" w:space="0" w:color="auto"/>
            </w:tcBorders>
            <w:hideMark/>
          </w:tcPr>
          <w:p w14:paraId="36FC0E4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Cơ quan soạn thảo ghi nhận và đánh giá cao định hướng "hài hòa phát triển và an toàn", nhằm bảo đảm chủ quyền số quốc gia. Về tên gọi của Luật, mặc dù Dự thảo Luật tập trung quản lý và quy định các nghĩa vụ đối với hệ thống trí tuệ nhân tạo và chuỗi hoạt động liên quan đến hệ thống này (nghiên cứu, phát triển, cung cấp, triển khai và sử dụng) theo Điều 1, tên gọi “Luật Trí tuệ nhân tạo” tiếp tục được giữ để bảo đảm tính khái quát cao và phù hợp với kỹ thuật lập pháp, thống nhất với thông lệ quốc tế về việc đặt tên luật (ví dụ: luật về AI của EU, Hàn Quốc, Nhật Bản).</w:t>
            </w:r>
          </w:p>
        </w:tc>
      </w:tr>
      <w:tr w:rsidR="00B30308" w:rsidRPr="00EE706C" w14:paraId="100ADFB0"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08659B38"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64</w:t>
            </w:r>
          </w:p>
        </w:tc>
        <w:tc>
          <w:tcPr>
            <w:tcW w:w="2548" w:type="dxa"/>
            <w:tcBorders>
              <w:top w:val="nil"/>
              <w:left w:val="nil"/>
              <w:bottom w:val="single" w:sz="4" w:space="0" w:color="auto"/>
              <w:right w:val="single" w:sz="4" w:space="0" w:color="auto"/>
            </w:tcBorders>
            <w:hideMark/>
          </w:tcPr>
          <w:p w14:paraId="3D00790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5C20E0E2"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Rủi ro về bất bình đẳng thông tin và quyền riêng tư: hơn 97% dữ liệu tiếng Việt chất lượng cao đang nằm trong tay 5 nền tảng xuyên biên giới. Nếu không hành động, việc phát triển mô hình tiếng Việt lớn có thể bị chi phối bởi nước ngoài.</w:t>
            </w:r>
          </w:p>
          <w:p w14:paraId="562FD889" w14:textId="7AF6762F"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Cần có giải pháp hành động ngay để bảo đảm quyền số, tránh để toàn bộ không gian dữ liệu và mô hình nằm trong tay một số ít chủ thể, đặc biệt là các nền tảng xuyên biên giới.</w:t>
            </w:r>
          </w:p>
        </w:tc>
        <w:tc>
          <w:tcPr>
            <w:tcW w:w="7087" w:type="dxa"/>
            <w:tcBorders>
              <w:top w:val="nil"/>
              <w:left w:val="nil"/>
              <w:bottom w:val="single" w:sz="4" w:space="0" w:color="auto"/>
              <w:right w:val="single" w:sz="4" w:space="0" w:color="auto"/>
            </w:tcBorders>
            <w:hideMark/>
          </w:tcPr>
          <w:p w14:paraId="0492D53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chia sẻ lo ngại về rủi ro bất bình đẳng dữ liệu, quyền riêng tư và nguy cơ phụ thuộc vào một số nền tảng xuyên biên giới trong phát triển mô hình tiếng Việt. Dự thảo Luật AI đã có quy định trực tiếp tại Điều 17, theo đó Nhà nước đầu tư, phát triển và làm chủ hạ tầng tính toán quốc gia, đồng thời ưu tiên phát triển, làm chủ mô hình ngôn ngữ lớn tiếng Việt và tiếng dân tộc, nhằm bảo đảm chủ quyền dữ liệu và giảm phụ thuộc vào mô hình nước ngoài. Bên cạnh đó, Điều 16 quy định phát triển hạ tầng dữ liệu quốc gia, Điều 12 và Điều 7 quy định nghĩa vụ bảo vệ dữ liệu cá nhân, quyền riêng tư, và khoản 6 Điều 13 yêu cầu đại diện pháp lý đối với nhà cung cấp AI rủi ro cao xuyên biên giới. Thiết kế này tạo công cụ pháp lý để hành động ngay, bảo đảm quyền số, dữ liệu tiếng Việt, và không gian mô hình ngôn ngữ không bị chi phối bởi một số ít nền tảng nước ngoài.</w:t>
            </w:r>
          </w:p>
        </w:tc>
      </w:tr>
      <w:tr w:rsidR="00B30308" w:rsidRPr="00EE706C" w14:paraId="3F7E8659"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0C34184A"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65</w:t>
            </w:r>
          </w:p>
        </w:tc>
        <w:tc>
          <w:tcPr>
            <w:tcW w:w="2548" w:type="dxa"/>
            <w:tcBorders>
              <w:top w:val="nil"/>
              <w:left w:val="nil"/>
              <w:bottom w:val="single" w:sz="4" w:space="0" w:color="auto"/>
              <w:right w:val="single" w:sz="4" w:space="0" w:color="auto"/>
            </w:tcBorders>
            <w:hideMark/>
          </w:tcPr>
          <w:p w14:paraId="45948EF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6F799551"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Rủi ro về thiên lệch và thiếu minh bạch: AI được dùng để chiếm điểm tín dụng, tuyển dụng, đánh giá năng lực học sinh, dự báo rủi ro sức khỏe, phân luồng dịch vụ công. "chúng ta không thể để một hộp đen thuật toán đưa ra một kết quả mà người dân không hiểu".</w:t>
            </w:r>
          </w:p>
          <w:p w14:paraId="6F3CBF5D" w14:textId="2812ACBD"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Người dân cần có quyền biết, quyền giải thích, và quyền được khiếu nại một khi quyết định quan trọng về mình do AI đưa ra, nếu không "niềm tin vào chuyển đổi số sẽ phá sản".</w:t>
            </w:r>
          </w:p>
        </w:tc>
        <w:tc>
          <w:tcPr>
            <w:tcW w:w="7087" w:type="dxa"/>
            <w:tcBorders>
              <w:top w:val="nil"/>
              <w:left w:val="nil"/>
              <w:bottom w:val="single" w:sz="4" w:space="0" w:color="auto"/>
              <w:right w:val="single" w:sz="4" w:space="0" w:color="auto"/>
            </w:tcBorders>
            <w:hideMark/>
          </w:tcPr>
          <w:p w14:paraId="088650BE" w14:textId="2BEBCA44"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Các yêu cầu về công bằng, minh bạch và trách nhiệm giải trình là nguyên tắc nền tảng của Dự thảo Luật, được quy định tại khoản 4 Điều 4 và được cụ thể hóa thành nghĩa vụ pháp lý của các chủ thể liên quan. Khoản 2 Điều 4 đồng thời yêu cầu bảo đảm khả năng kiểm soát và can thiệp của con người, qua đó con người luôn là chủ thể quyết định cuối cùng. Về minh bạch, quyền biết và quyền được giải thích, Điều 10 quy định nghĩa minh bạch; Điều 13 yêu cầu Nhà cung cấp và Bên triển khai hệ thống AI rủi ro cao thực hiện giải trình và cung cấp thông tin vận hành ở mức phù hợp; và Điều 26 bảo đảm quyền giải trình, khiếu nại đối với các quyết định hành chính có sự hỗ trợ của AI. Thiết kế này tạo cơ sở pháp lý đầy đủ để người dân được biết, được giải thích và được bảo vệ quyền, lợi ích hợp pháp khi các hệ thống AI tác động trực tiếp đến họ.</w:t>
            </w:r>
          </w:p>
        </w:tc>
      </w:tr>
      <w:tr w:rsidR="00B30308" w:rsidRPr="00EE706C" w14:paraId="1031B16B" w14:textId="77777777" w:rsidTr="00AA4A03">
        <w:trPr>
          <w:trHeight w:val="2304"/>
        </w:trPr>
        <w:tc>
          <w:tcPr>
            <w:tcW w:w="708" w:type="dxa"/>
            <w:tcBorders>
              <w:top w:val="nil"/>
              <w:left w:val="single" w:sz="4" w:space="0" w:color="auto"/>
              <w:bottom w:val="single" w:sz="4" w:space="0" w:color="auto"/>
              <w:right w:val="single" w:sz="4" w:space="0" w:color="auto"/>
            </w:tcBorders>
            <w:hideMark/>
          </w:tcPr>
          <w:p w14:paraId="73F4ED6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66</w:t>
            </w:r>
          </w:p>
        </w:tc>
        <w:tc>
          <w:tcPr>
            <w:tcW w:w="2548" w:type="dxa"/>
            <w:tcBorders>
              <w:top w:val="nil"/>
              <w:left w:val="nil"/>
              <w:bottom w:val="single" w:sz="4" w:space="0" w:color="auto"/>
              <w:right w:val="single" w:sz="4" w:space="0" w:color="auto"/>
            </w:tcBorders>
            <w:hideMark/>
          </w:tcPr>
          <w:p w14:paraId="1643956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0F153C78"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Rủi ro về Deepfake và thao túng nhận thức rất tinh vi.Ghi</w:t>
            </w:r>
            <w:r w:rsidR="00B56CCF"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nhận hơn 180.000 video</w:t>
            </w:r>
          </w:p>
          <w:p w14:paraId="19DBB15D" w14:textId="359E2599"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Deepfake chính trị trong 9 tháng đầu năm nay. "Một video giả vài giây có thể gây tổn hại nghiêm trọng đến uy tín, trật tự xã hội và an ninh quốc gia".</w:t>
            </w:r>
          </w:p>
          <w:p w14:paraId="39C7714D" w14:textId="30647B51"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Cần kiểm soát chặt chẽ các hành vi sử dụng yếu tố giả mạo hoặc mô phỏng người, sự kiện thật để lừa dối.</w:t>
            </w:r>
          </w:p>
        </w:tc>
        <w:tc>
          <w:tcPr>
            <w:tcW w:w="7087" w:type="dxa"/>
            <w:tcBorders>
              <w:top w:val="nil"/>
              <w:left w:val="nil"/>
              <w:bottom w:val="single" w:sz="4" w:space="0" w:color="auto"/>
              <w:right w:val="single" w:sz="4" w:space="0" w:color="auto"/>
            </w:tcBorders>
            <w:hideMark/>
          </w:tcPr>
          <w:p w14:paraId="33526B7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như sau: Cơ quan chủ trì soạn thảo chia sẻ lo ngại về rủi ro deepfake và thao túng nhận thức. Dự thảo Luật đã quy định trực tiếp tại điểm b khoản 2 Điều 6, cấm tuyệt đối việc sử dụng yếu tố giả mạo hoặc mô phỏng người, sự kiện thật để lừa dối hoặc thao túng nhận thức của con người. Đồng thời, điểm d khoản 2 Điều 6 cấm tạo hoặc phổ biến nội dung giả mạo gây nguy hại nghiêm trọng đến an ninh, trật tự, an toàn xã hội. Ngoài các hành vi bị cấm, Điều 10 cũng đặt ra nghĩa vụ minh bạch đối với nội dung do AI tạo ra (gắn nhãn, cảnh báo, thông tin rõ về bản chất mô phỏng), tạo cơ chế phòng ngừa để người dân nhận biết và tránh bị lừa dối. Do đó, hệ thống quy định hiện hành đã bao quát đầy đủ, không cần bổ sung điều cấm riêng.</w:t>
            </w:r>
          </w:p>
        </w:tc>
      </w:tr>
      <w:tr w:rsidR="00B30308" w:rsidRPr="00EE706C" w14:paraId="0CF06A61"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5D701D0D"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67</w:t>
            </w:r>
          </w:p>
        </w:tc>
        <w:tc>
          <w:tcPr>
            <w:tcW w:w="2548" w:type="dxa"/>
            <w:tcBorders>
              <w:top w:val="nil"/>
              <w:left w:val="nil"/>
              <w:bottom w:val="single" w:sz="4" w:space="0" w:color="auto"/>
              <w:right w:val="single" w:sz="4" w:space="0" w:color="auto"/>
            </w:tcBorders>
            <w:hideMark/>
          </w:tcPr>
          <w:p w14:paraId="31176AF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6A7061F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Áp dụng cách tiếp cận dựa trên rủi ro, phân loại rõ 4 bậc. Với rủi ro cao trong các lĩnh vực như y tế, tư pháp, tín dụng phải có cơ chế kiểm soát bắt buộc. Thực tế đã có không ít bác sĩ AI, luật sư AI tư vấn sai; nếu không kiểm soát chặt thì hậu quả với sức khỏe, quyền con người là không thể lường được.</w:t>
            </w:r>
            <w:r w:rsidRPr="00AA4A03">
              <w:rPr>
                <w:rFonts w:ascii="Times New Roman" w:eastAsia="Times New Roman" w:hAnsi="Times New Roman" w:cs="Times New Roman"/>
                <w:color w:val="000000"/>
                <w:kern w:val="0"/>
                <w:sz w:val="26"/>
                <w:szCs w:val="26"/>
                <w:lang w:val="vi-VN"/>
                <w14:ligatures w14:val="none"/>
              </w:rPr>
              <w:br/>
              <w:t>Đề xuất, kiến nghị: Yêu cầu AI rủi ro cao phải có cơ chế kiểm soát bắt buộc, chứng nhận an toàn, giám sát của con người và chịu trách nhiệm giải trình rõ ràng.</w:t>
            </w:r>
          </w:p>
        </w:tc>
        <w:tc>
          <w:tcPr>
            <w:tcW w:w="7087" w:type="dxa"/>
            <w:tcBorders>
              <w:top w:val="nil"/>
              <w:left w:val="nil"/>
              <w:bottom w:val="single" w:sz="4" w:space="0" w:color="auto"/>
              <w:right w:val="single" w:sz="4" w:space="0" w:color="auto"/>
            </w:tcBorders>
            <w:hideMark/>
          </w:tcPr>
          <w:p w14:paraId="746C57A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hoàn toàn thống nhất với yêu cầu tăng cường kiểm soát các hệ thống AI có rủi ro cao trong các lĩnh vực nhạy cảm như y tế, tư pháp, tín dụng để bảo vệ sức khỏe, quyền con người và an toàn xã hội. Dự thảo Luật đã thiết kế cơ chế bắt buộc và nhiều lớp đối với AI rủi ro cao: Điều 13 quy định hệ thống AI thuộc nhóm này phải thực hiện quản lý rủi ro, đánh giá an toàn, kiểm tra định kỳ, giới hạn đầu ra, cảnh báo và bảo đảm khả năng can thiệp trực tiếp của con người; đồng thời, khi thuộc diện kiểm soát đặc biệt, hệ thống phải được chứng nhận sự phù hợp trước khi lưu hành hoặc đưa vào sử dụng. Điều 10 quy định trách nhiệm minh bạch thông tin và cảnh báo báo rõ ràng để người sử dụng nhận biết rủi ro và hiểu rõ giới hạn vận hành của hệ thống; Điều 11 quy định trách nhiệm xử lý sự cố của nhà phát triển, nhà cung cấp và bên triển khai; và Điều 28 xác định trách nhiệm bồi thường khi gây thiệt hại. Các quy định này tạo thành một cơ chế kiểm soát đầy đủ, đáp ứng yêu cầu về kiểm soát, chứng nhận an toàn và trách nhiệm giải trình mà Đại biểu nêu.</w:t>
            </w:r>
          </w:p>
        </w:tc>
      </w:tr>
      <w:tr w:rsidR="00B30308" w:rsidRPr="00EE706C" w14:paraId="7871101E" w14:textId="77777777" w:rsidTr="00B56CCF">
        <w:trPr>
          <w:trHeight w:val="1824"/>
        </w:trPr>
        <w:tc>
          <w:tcPr>
            <w:tcW w:w="708" w:type="dxa"/>
            <w:tcBorders>
              <w:top w:val="nil"/>
              <w:left w:val="single" w:sz="4" w:space="0" w:color="auto"/>
              <w:bottom w:val="single" w:sz="4" w:space="0" w:color="auto"/>
              <w:right w:val="single" w:sz="4" w:space="0" w:color="auto"/>
            </w:tcBorders>
            <w:hideMark/>
          </w:tcPr>
          <w:p w14:paraId="7E2DC335"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68</w:t>
            </w:r>
          </w:p>
        </w:tc>
        <w:tc>
          <w:tcPr>
            <w:tcW w:w="2548" w:type="dxa"/>
            <w:tcBorders>
              <w:top w:val="nil"/>
              <w:left w:val="nil"/>
              <w:bottom w:val="single" w:sz="4" w:space="0" w:color="auto"/>
              <w:right w:val="single" w:sz="4" w:space="0" w:color="auto"/>
            </w:tcBorders>
            <w:hideMark/>
          </w:tcPr>
          <w:p w14:paraId="3CA6BC6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6396372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cấm tuyệt đối các hệ thống AI có rủi ro không thể chấp nhận được, bao gồm: thao túng hành vi khai thác trẻ em và nhóm yếu thế, deepfake gây tổn hại danh dự, chấm điểm xã hội và nhận dạng sinh trắc học thời gian thực, quảng cáo nhắm mục tiêu theo tôn giáo, sắc tộc và chính kiến.</w:t>
            </w:r>
            <w:r w:rsidRPr="00AA4A03">
              <w:rPr>
                <w:rFonts w:ascii="Times New Roman" w:eastAsia="Times New Roman" w:hAnsi="Times New Roman" w:cs="Times New Roman"/>
                <w:color w:val="000000"/>
                <w:kern w:val="0"/>
                <w:sz w:val="26"/>
                <w:szCs w:val="26"/>
                <w:lang w:val="vi-VN"/>
                <w14:ligatures w14:val="none"/>
              </w:rPr>
              <w:br/>
              <w:t xml:space="preserve">Đề xuất, kiến nghị: Cần cấm tuyệt đối hoặc hạn chế nghiêm ngặt các ứng dụng </w:t>
            </w:r>
            <w:r w:rsidRPr="00AA4A03">
              <w:rPr>
                <w:rFonts w:ascii="Times New Roman" w:eastAsia="Times New Roman" w:hAnsi="Times New Roman" w:cs="Times New Roman"/>
                <w:color w:val="000000"/>
                <w:kern w:val="0"/>
                <w:sz w:val="26"/>
                <w:szCs w:val="26"/>
                <w:lang w:val="vi-VN"/>
                <w14:ligatures w14:val="none"/>
              </w:rPr>
              <w:lastRenderedPageBreak/>
              <w:t>có nguy cơ xâm phạm nghiêm trọng về nhân phẩm, quyền con người và an ninh quốc gia.</w:t>
            </w:r>
          </w:p>
        </w:tc>
        <w:tc>
          <w:tcPr>
            <w:tcW w:w="7087" w:type="dxa"/>
            <w:tcBorders>
              <w:top w:val="nil"/>
              <w:left w:val="nil"/>
              <w:bottom w:val="single" w:sz="4" w:space="0" w:color="auto"/>
              <w:right w:val="single" w:sz="4" w:space="0" w:color="auto"/>
            </w:tcBorders>
            <w:hideMark/>
          </w:tcPr>
          <w:p w14:paraId="14CE791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như sau: Cơ quan chủ trì soạn thảo thống nhất với yêu cầu kiểm soát nghiêm ngặt các hành vi như nhận dạng sinh trắc học trái phép, phân biệt đối xử hoặc chấm điểm xã hội nếu xâm phạm quyền con người, quyền riêng tư hoặc vi phạm pháp luật chuyên ngành. Tuy nhiên, điểm a khoản 2 Điều 6 của Dự thảo Luật đã quy định nguyên tắc cấm tuyệt đối việc thiết kế, phát triển, triển khai hoặc sử dụng hệ thống trí tuệ nhân tạo để thực hiện bất kỳ hành vi nào bị pháp luật nghiêm cấm, qua đó bao quát đầy đủ cả các hành vi sử dụng AI vào mục đích vi phạm trong lĩnh vực dữ liệu, sinh trắc học, an ninh mạng hoặc phân biệt đối </w:t>
            </w:r>
            <w:r w:rsidRPr="00AA4A03">
              <w:rPr>
                <w:rFonts w:ascii="Times New Roman" w:eastAsia="Times New Roman" w:hAnsi="Times New Roman" w:cs="Times New Roman"/>
                <w:color w:val="000000"/>
                <w:kern w:val="0"/>
                <w:sz w:val="26"/>
                <w:szCs w:val="26"/>
                <w:lang w:val="vi-VN"/>
                <w14:ligatures w14:val="none"/>
              </w:rPr>
              <w:lastRenderedPageBreak/>
              <w:t>xử. Những hành vi chưa bị cấm một cách độc lập trong pháp luật hiện hành, như “chấm điểm xã hội”, sẽ bị điều chỉnh khi chúng xâm phạm quyền, lợi ích hợp pháp của tổ chức, cá nhân theo quy định chung của điểm a khoản 2 Điều 6 và pháp luật có liên quan. Do vậy, việc bổ sung một điều cấm riêng là không cần thiết, nhằm giữ tính khái quát và thống nhất của điều luật.</w:t>
            </w:r>
          </w:p>
        </w:tc>
      </w:tr>
      <w:tr w:rsidR="00B30308" w:rsidRPr="00EE706C" w14:paraId="1BE4251B"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2484589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69</w:t>
            </w:r>
          </w:p>
        </w:tc>
        <w:tc>
          <w:tcPr>
            <w:tcW w:w="2548" w:type="dxa"/>
            <w:tcBorders>
              <w:top w:val="nil"/>
              <w:left w:val="nil"/>
              <w:bottom w:val="single" w:sz="4" w:space="0" w:color="auto"/>
              <w:right w:val="single" w:sz="4" w:space="0" w:color="auto"/>
            </w:tcBorders>
            <w:hideMark/>
          </w:tcPr>
          <w:p w14:paraId="044879D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6E0338F4"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Đảm bảo tính liên tục trong quản trị: Buộc các nền tảng nước ngoài có trên 5 triệu người dùng tại Việt Nam phải đặt pháp nhân tại Việt Nam và chịu trách nhiệm quản lý như doanh nghiệp Việt.</w:t>
            </w:r>
          </w:p>
          <w:p w14:paraId="6B772224" w14:textId="1648481D"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Quy định ngưỡng 5 triệu người dùng và bắt buộc thành lập pháp nhân tại Việt Nam để đảm bảo tính liên tục trong quản trị, trách nhiệm giải trình và bảo vệ công dân.</w:t>
            </w:r>
          </w:p>
        </w:tc>
        <w:tc>
          <w:tcPr>
            <w:tcW w:w="7087" w:type="dxa"/>
            <w:tcBorders>
              <w:top w:val="nil"/>
              <w:left w:val="nil"/>
              <w:bottom w:val="single" w:sz="4" w:space="0" w:color="auto"/>
              <w:right w:val="single" w:sz="4" w:space="0" w:color="auto"/>
            </w:tcBorders>
            <w:hideMark/>
          </w:tcPr>
          <w:p w14:paraId="5465B4A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ghi nhận đề xuất của Đại biểu về yêu cầu nền tảng xuyên biên giới có trên 5 triệu người dùng tại Việt Nam phải đặt pháp nhân trong nước để bảo đảm trách nhiệm quản trị và giải trình. Tuy nhiên, Dự thảo Luật AI đã tiếp cận vấn đề này theo hướng quản lý theo rủi ro, không theo ngưỡng người dùng hay mô hình kinh doanh. Cụ thể, khoản 6 Điều 13 quy định nhà cung cấp nước ngoài có hệ thống AI rủi ro cao cung cấp tại Việt Nam phải có đầu mối liên hệ hợp pháp, và nếu hệ thống thuộc diện bắt buộc chứng nhận sự phù hợp, thì phải có pháp nhân hoặc đại diện được ủy quyền tại Việt Nam. Quy định này bảo đảm khả năng quản lý và giải trình đối với các hệ thống có tác động lớn mà không tạo gánh nặng cứng nhắc dựa trên số lượng người dùng, vốn thuộc phạm vi điều chỉnh của pháp luật về an ninh mạng, viễn thông và thương mại điện tử. Do đó, đề xuất của Đại biểu đã được phản ánh đầy đủ trong Luật theo cách linh hoạt và phù hợp hơn, không cần bổ sung thêm ngưỡng 5 triệu người dùng.</w:t>
            </w:r>
          </w:p>
        </w:tc>
      </w:tr>
      <w:tr w:rsidR="00B30308" w:rsidRPr="00EE706C" w14:paraId="7F1084F8"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1A704A49"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70</w:t>
            </w:r>
          </w:p>
        </w:tc>
        <w:tc>
          <w:tcPr>
            <w:tcW w:w="2548" w:type="dxa"/>
            <w:tcBorders>
              <w:top w:val="nil"/>
              <w:left w:val="nil"/>
              <w:bottom w:val="single" w:sz="4" w:space="0" w:color="auto"/>
              <w:right w:val="single" w:sz="4" w:space="0" w:color="auto"/>
            </w:tcBorders>
            <w:hideMark/>
          </w:tcPr>
          <w:p w14:paraId="60DEA55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5905450A"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Thành lập ngay Ủy ban An toàn hệ thống AI quốc gia trực thuộc Thủ tướng để triển khai kịp thời các chiến lược phát triển hệ thống trí tuệ nhân tạo đồng nhịp với chiến lược chuyển đổi số quốc gia.</w:t>
            </w:r>
          </w:p>
          <w:p w14:paraId="5878E340" w14:textId="5F22E703"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Thành lập Ủy ban An toàn hệ thống AI quốc gia. Nếu chậm một nhịp, chúng ta sẽ mất vị thế trong khi các thiết chế quốc tế về AI đang định hình các chuẩn mực toàn cầu.</w:t>
            </w:r>
          </w:p>
        </w:tc>
        <w:tc>
          <w:tcPr>
            <w:tcW w:w="7087" w:type="dxa"/>
            <w:tcBorders>
              <w:top w:val="nil"/>
              <w:left w:val="nil"/>
              <w:bottom w:val="single" w:sz="4" w:space="0" w:color="auto"/>
              <w:right w:val="single" w:sz="4" w:space="0" w:color="auto"/>
            </w:tcBorders>
            <w:hideMark/>
          </w:tcPr>
          <w:p w14:paraId="33CAF394"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ghi nhận đề xuất thành lập “Ủy ban An toàn hệ thống AI quốc gia trực thuộc Thủ tướng”. Tuy nhiên, việc quy định cứng mô hình tổ chức trong Luật là chưa phù hợp với Luật Tổ chức Chính phủ, theo đó thẩm quyền thành lập các ủy ban, hội đồng quốc gia thuộc về Chính phủ và Thủ tướng. Dự thảo Luật AI được thiết kế theo hướng luật khung, quy định nguyên tắc và cơ chế quản trị rủi ro, còn mô hình tổ chức sẽ do Chính phủ quyết định tùy theo yêu cầu thực tiễn và mức độ phát triển của hệ sinh thái AI.</w:t>
            </w:r>
          </w:p>
          <w:p w14:paraId="30B2EB63" w14:textId="294E16BC"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Các điều từ 10 đến 16 của Luật đã thiết lập đầy đủ cơ chế về giám sát, kiểm định, cảnh báo và phối hợp liên ngành, tạo nền tảng pháp lý để Chính phủ, khi cần thiết, thành lập cơ quan chuyên trách hoặc ủy ban cấp quốc gia về an toàn AI mà không phải sửa luật. Thiết kế này bảo đảm tính linh hoạt trong tổ chức bộ máy, tiết kiệm nguồn lực và phù hợp với đặc thù công nghệ phát triển nhanh.</w:t>
            </w:r>
          </w:p>
        </w:tc>
      </w:tr>
      <w:tr w:rsidR="00B30308" w:rsidRPr="00EE706C" w14:paraId="6C33E072" w14:textId="77777777" w:rsidTr="00B56CCF">
        <w:trPr>
          <w:trHeight w:val="690"/>
        </w:trPr>
        <w:tc>
          <w:tcPr>
            <w:tcW w:w="708" w:type="dxa"/>
            <w:tcBorders>
              <w:top w:val="nil"/>
              <w:left w:val="single" w:sz="4" w:space="0" w:color="auto"/>
              <w:bottom w:val="single" w:sz="4" w:space="0" w:color="auto"/>
              <w:right w:val="single" w:sz="4" w:space="0" w:color="auto"/>
            </w:tcBorders>
            <w:hideMark/>
          </w:tcPr>
          <w:p w14:paraId="37CA0EB6"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71</w:t>
            </w:r>
          </w:p>
        </w:tc>
        <w:tc>
          <w:tcPr>
            <w:tcW w:w="2548" w:type="dxa"/>
            <w:tcBorders>
              <w:top w:val="nil"/>
              <w:left w:val="nil"/>
              <w:bottom w:val="single" w:sz="4" w:space="0" w:color="auto"/>
              <w:right w:val="single" w:sz="4" w:space="0" w:color="auto"/>
            </w:tcBorders>
            <w:hideMark/>
          </w:tcPr>
          <w:p w14:paraId="5DA3364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5965492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Luật phải có cơ chế cập nhật theo thời gian thực (real-time). "Công nghệ thay đổi từng ngày, luật không thể đợi vài năm mới sửa".</w:t>
            </w:r>
            <w:r w:rsidRPr="00AA4A03">
              <w:rPr>
                <w:rFonts w:ascii="Times New Roman" w:eastAsia="Times New Roman" w:hAnsi="Times New Roman" w:cs="Times New Roman"/>
                <w:color w:val="000000"/>
                <w:kern w:val="0"/>
                <w:sz w:val="26"/>
                <w:szCs w:val="26"/>
                <w:lang w:val="vi-VN"/>
                <w14:ligatures w14:val="none"/>
              </w:rPr>
              <w:br/>
              <w:t>Đề xuất, kiến nghị: Cần ủy quyền cho Chính phủ cập nhật danh mục rủi ro cao, ứng dụng bị cấm, tiêu chuẩn kỹ thuật để tránh luật bị tụt hậu ngay khi có hiệu lực.</w:t>
            </w:r>
          </w:p>
        </w:tc>
        <w:tc>
          <w:tcPr>
            <w:tcW w:w="7087" w:type="dxa"/>
            <w:tcBorders>
              <w:top w:val="nil"/>
              <w:left w:val="nil"/>
              <w:bottom w:val="single" w:sz="4" w:space="0" w:color="auto"/>
              <w:right w:val="single" w:sz="4" w:space="0" w:color="auto"/>
            </w:tcBorders>
            <w:hideMark/>
          </w:tcPr>
          <w:p w14:paraId="1DB472C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Ban soạn thảo hoàn toàn thống nhất với yêu cầu bảo đảm tính linh hoạt và khả năng cập nhật nhanh của Luật AI trong bối cảnh công nghệ thay đổi liên tục. Dự thảo Luật đã được thiết kế theo hướng luật khung, trong đó các nội dung cần điều chỉnh thường xuyên như: tiêu chí phân loại rủi ro (Điều 8), danh mục ứng dụng rủi ro cao (giao Chính phủ quy định tại khoản 4 Điều 8), tiêu chuẩn – quy chuẩn kỹ thuật và yêu cầu an toàn (Điều 14, Điều 33), trách nhiệm minh bạch và gắn nhãn (Điều 10), cơ chế thử nghiệm (Điều 20) đều được ủy quyền cho Chính phủ quy định chi tiết và cập nhật theo thực tiễn. Cách thiết kế này bảo đảm Luật không bị lạc hậu, cho phép Chính phủ kịp thời điều chỉnh danh mục rủi ro cao, yêu </w:t>
            </w:r>
            <w:r w:rsidRPr="00AA4A03">
              <w:rPr>
                <w:rFonts w:ascii="Times New Roman" w:eastAsia="Times New Roman" w:hAnsi="Times New Roman" w:cs="Times New Roman"/>
                <w:color w:val="000000"/>
                <w:kern w:val="0"/>
                <w:sz w:val="26"/>
                <w:szCs w:val="26"/>
                <w:lang w:val="vi-VN"/>
                <w14:ligatures w14:val="none"/>
              </w:rPr>
              <w:lastRenderedPageBreak/>
              <w:t>cầu kỹ thuật hoặc biện pháp quản lý khi xuất hiện công nghệ mới, đồng thời vẫn giữ vững tính ổn định của văn bản luật.</w:t>
            </w:r>
          </w:p>
        </w:tc>
      </w:tr>
      <w:tr w:rsidR="00B30308" w:rsidRPr="00EE706C" w14:paraId="2D6A768A" w14:textId="77777777" w:rsidTr="00AA4A03">
        <w:trPr>
          <w:trHeight w:val="4608"/>
        </w:trPr>
        <w:tc>
          <w:tcPr>
            <w:tcW w:w="708" w:type="dxa"/>
            <w:tcBorders>
              <w:top w:val="nil"/>
              <w:left w:val="single" w:sz="4" w:space="0" w:color="auto"/>
              <w:bottom w:val="single" w:sz="4" w:space="0" w:color="auto"/>
              <w:right w:val="single" w:sz="4" w:space="0" w:color="auto"/>
            </w:tcBorders>
            <w:hideMark/>
          </w:tcPr>
          <w:p w14:paraId="1D365DC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72</w:t>
            </w:r>
          </w:p>
        </w:tc>
        <w:tc>
          <w:tcPr>
            <w:tcW w:w="2548" w:type="dxa"/>
            <w:tcBorders>
              <w:top w:val="nil"/>
              <w:left w:val="nil"/>
              <w:bottom w:val="single" w:sz="4" w:space="0" w:color="auto"/>
              <w:right w:val="single" w:sz="4" w:space="0" w:color="auto"/>
            </w:tcBorders>
            <w:hideMark/>
          </w:tcPr>
          <w:p w14:paraId="49B8E94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Trọng Nhân - TP Hồ Chí Minh</w:t>
            </w:r>
          </w:p>
        </w:tc>
        <w:tc>
          <w:tcPr>
            <w:tcW w:w="4394" w:type="dxa"/>
            <w:tcBorders>
              <w:top w:val="nil"/>
              <w:left w:val="nil"/>
              <w:bottom w:val="single" w:sz="4" w:space="0" w:color="auto"/>
              <w:right w:val="single" w:sz="4" w:space="0" w:color="auto"/>
            </w:tcBorders>
            <w:hideMark/>
          </w:tcPr>
          <w:p w14:paraId="55D9E29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Chế tài phải đủ mạnh. Phạt hành chính là chưa đủ mà phải xử lý hình sự đối với các đối tượng cố ý triển khai AI rủi ro cao mà không kiểm thử và không minh bạch.</w:t>
            </w:r>
            <w:r w:rsidRPr="00AA4A03">
              <w:rPr>
                <w:rFonts w:ascii="Times New Roman" w:eastAsia="Times New Roman" w:hAnsi="Times New Roman" w:cs="Times New Roman"/>
                <w:color w:val="000000"/>
                <w:kern w:val="0"/>
                <w:sz w:val="26"/>
                <w:szCs w:val="26"/>
                <w:lang w:val="vi-VN"/>
                <w14:ligatures w14:val="none"/>
              </w:rPr>
              <w:br/>
              <w:t>Đề xuất, kiến nghị: Nhấn mạnh việc xử lý hình sự đối với các đối tượng cố ý vi phạm liên quan đến AI rủi ro cao.</w:t>
            </w:r>
          </w:p>
        </w:tc>
        <w:tc>
          <w:tcPr>
            <w:tcW w:w="7087" w:type="dxa"/>
            <w:tcBorders>
              <w:top w:val="nil"/>
              <w:left w:val="nil"/>
              <w:bottom w:val="single" w:sz="4" w:space="0" w:color="auto"/>
              <w:right w:val="single" w:sz="4" w:space="0" w:color="auto"/>
            </w:tcBorders>
            <w:hideMark/>
          </w:tcPr>
          <w:p w14:paraId="4012D9AD"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Theo Luật Xử lý vi phạm hành chính, việc quy định mức phạt tiền tối đa, thẩm quyền xử phạt và biện pháp xử lý bổ sung như đình chỉ hoạt động chỉ được xác lập trong Luật XLVPHC hoặc luật chuyên ngành quy định rõ khung lĩnh vực. Luật AI là luật khung về công nghệ, không phải luật xử phạt hành chính theo lĩnh vực kinh doanh cụ thể, nên không quy định trực tiếp con số mức phạt để tránh xung đột với Luật XLVPHC (đang quy định trần xử phạt theo từng nhóm lĩnh vực).</w:t>
            </w:r>
            <w:r w:rsidRPr="00AA4A03">
              <w:rPr>
                <w:rFonts w:ascii="Times New Roman" w:eastAsia="Times New Roman" w:hAnsi="Times New Roman" w:cs="Times New Roman"/>
                <w:color w:val="000000"/>
                <w:kern w:val="0"/>
                <w:sz w:val="26"/>
                <w:szCs w:val="26"/>
                <w:lang w:val="vi-VN"/>
                <w14:ligatures w14:val="none"/>
              </w:rPr>
              <w:br/>
              <w:t xml:space="preserve">Tuy nhiên, Luật AI vẫn bảo đảm đầy đủ năng lực chế tài đối với hành vi vi phạm trong lĩnh vực AI, thông qua ba tầng pháp lý </w:t>
            </w:r>
            <w:r w:rsidRPr="00AA4A03">
              <w:rPr>
                <w:rFonts w:ascii="Times New Roman" w:eastAsia="Times New Roman" w:hAnsi="Times New Roman" w:cs="Times New Roman"/>
                <w:color w:val="000000"/>
                <w:kern w:val="0"/>
                <w:sz w:val="26"/>
                <w:szCs w:val="26"/>
                <w:lang w:val="vi-VN"/>
                <w14:ligatures w14:val="none"/>
              </w:rPr>
              <w:br/>
              <w:t xml:space="preserve">1. Điều 6 xác định rõ các hành vi bị cấm—là căn cứ pháp lý để áp dụng chế tài hình sự hoặc hành chính theo luật hiện hành. </w:t>
            </w:r>
            <w:r w:rsidRPr="00AA4A03">
              <w:rPr>
                <w:rFonts w:ascii="Times New Roman" w:eastAsia="Times New Roman" w:hAnsi="Times New Roman" w:cs="Times New Roman"/>
                <w:color w:val="000000"/>
                <w:kern w:val="0"/>
                <w:sz w:val="26"/>
                <w:szCs w:val="26"/>
                <w:lang w:val="vi-VN"/>
                <w14:ligatures w14:val="none"/>
              </w:rPr>
              <w:br/>
              <w:t>2. Luật giao Chính phủ quy định chi tiết chế tài xử phạt hành chính, cho phép Chính phủ thiết kế các mức phạt tiệm cận mức trần tối đa theo Luật XLVPHC (hiện có thể lên đến 2 tỷ đồng đối với tổ chức tùy lĩnh vực).</w:t>
            </w:r>
          </w:p>
          <w:p w14:paraId="22D5C119" w14:textId="1611B329"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3. Chính phủ có thể bổ sung biện pháp đình chỉ cung cấp dịch vụ AI, tước quyền sử dụng giấy phép, đình chỉ thử nghiệm, hoặc thu hồi chứng nhận sự phù hợp đối với AI rủi ro cao—các biện pháp này đã có cơ sở pháp lý từ Điều 13 và Điều 20 của Luật AI.</w:t>
            </w:r>
            <w:r w:rsidRPr="00AA4A03">
              <w:rPr>
                <w:rFonts w:ascii="Times New Roman" w:eastAsia="Times New Roman" w:hAnsi="Times New Roman" w:cs="Times New Roman"/>
                <w:color w:val="000000"/>
                <w:kern w:val="0"/>
                <w:sz w:val="26"/>
                <w:szCs w:val="26"/>
                <w:lang w:val="vi-VN"/>
                <w14:ligatures w14:val="none"/>
              </w:rPr>
              <w:br/>
              <w:t>Như vậy, Luật quy định đủ cơ sở pháp lý để Chính phủ áp dụng chế tài mạnh như đề xuất của Đại biểu đã đầy đủ, bảo đảm tính răn đe và phù hợp với hệ thống pháp luật hiện hành.</w:t>
            </w:r>
          </w:p>
        </w:tc>
      </w:tr>
      <w:tr w:rsidR="00B30308" w:rsidRPr="00EE706C" w14:paraId="3A1D116D"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685267D8"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73</w:t>
            </w:r>
          </w:p>
        </w:tc>
        <w:tc>
          <w:tcPr>
            <w:tcW w:w="2548" w:type="dxa"/>
            <w:tcBorders>
              <w:top w:val="nil"/>
              <w:left w:val="nil"/>
              <w:bottom w:val="single" w:sz="4" w:space="0" w:color="auto"/>
              <w:right w:val="single" w:sz="4" w:space="0" w:color="auto"/>
            </w:tcBorders>
            <w:hideMark/>
          </w:tcPr>
          <w:p w14:paraId="3C66AFE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Văn Hòa - Đồng Tháp</w:t>
            </w:r>
          </w:p>
        </w:tc>
        <w:tc>
          <w:tcPr>
            <w:tcW w:w="4394" w:type="dxa"/>
            <w:tcBorders>
              <w:top w:val="nil"/>
              <w:left w:val="nil"/>
              <w:bottom w:val="single" w:sz="4" w:space="0" w:color="auto"/>
              <w:right w:val="single" w:sz="4" w:space="0" w:color="auto"/>
            </w:tcBorders>
            <w:hideMark/>
          </w:tcPr>
          <w:p w14:paraId="4A76C9A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Chính sách Nhà nước cần thiết lập cơ chế hỗ trợ thử nghiệm, kiểm nghiệm đối với công nghệ AI, đặc biệt là công nghệ tiên tiến, tối ưu, có rủi ro cao, vì AI do con người tạo ra vẫn có thể có lỗi kỹ thuật và có những hạn chế nhất định. Đại biểu cho rằng việc này là cần thiết vì nếu để doanh nghiệp tự động sẽ gặp khó khăn. "Chính sách của Nhà nước để thử nghiệm, kiểm nghiệm hoạt động công nghệ này là cần thiết vì nếu để doanh nghiệp tự động...".</w:t>
            </w:r>
            <w:r w:rsidRPr="00AA4A03">
              <w:rPr>
                <w:rFonts w:ascii="Times New Roman" w:eastAsia="Times New Roman" w:hAnsi="Times New Roman" w:cs="Times New Roman"/>
                <w:color w:val="000000"/>
                <w:kern w:val="0"/>
                <w:sz w:val="26"/>
                <w:szCs w:val="26"/>
                <w:lang w:val="vi-VN"/>
                <w14:ligatures w14:val="none"/>
              </w:rPr>
              <w:br/>
              <w:t>Đề xuất, kiến nghị: Nhà nước cần có chính sách hỗ trợ cụ thể cho doanh nghiệp trong việc thử nghiệm, kiểm nghiệm công nghệ AI, nhất là AI rủi ro cao, để đảm bảo an toàn trước khi áp dụng, lưu hành, quảng bá ra thị trường.</w:t>
            </w:r>
          </w:p>
        </w:tc>
        <w:tc>
          <w:tcPr>
            <w:tcW w:w="7087" w:type="dxa"/>
            <w:tcBorders>
              <w:top w:val="nil"/>
              <w:left w:val="nil"/>
              <w:bottom w:val="single" w:sz="4" w:space="0" w:color="auto"/>
              <w:right w:val="single" w:sz="4" w:space="0" w:color="auto"/>
            </w:tcBorders>
            <w:hideMark/>
          </w:tcPr>
          <w:p w14:paraId="4A22968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thống nhất rằng Nhà nước cần có chính sách hỗ trợ doanh nghiệp trong hoạt động thử nghiệm và kiểm nghiệm công nghệ AI, nhất là đối với các hệ thống AI rủi ro cao. Dự thảo Luật đã thể hiện nội dung này tại Điều 24, trong đó quy định Nhà nước hỗ trợ doanh nghiệp thông qua tư vấn kỹ thuật, đánh giá rủi ro, kết nối cơ sở thử nghiệm và tạo điều kiện sử dụng hạ tầng dữ liệu – tính toán phục vụ thử nghiệm. Bên cạnh đó, cơ chế thử nghiệm có kiểm soát tại Điều 20 cho phép doanh nghiệp được thử nghiệm công nghệ mới trong môi trường an toàn, có giám sát và có miễn, giảm nghĩa vụ trong phạm vi thử nghiệm đã được phê duyệt. Đây là các công cụ pháp lý quan trọng để Nhà nước đồng hành, giảm chi phí và rủi ro cho doanh nghiệp trước khi đưa công nghệ ra thị trường. Do Điều 5 mang tính chính sách khung, dự thảo không bổ sung thêm chi tiết nhưng đã bảo đảm đầy đủ cơ sở để Chính phủ triển khai các chính sách hỗ trợ theo đề xuất của Đại biểu.</w:t>
            </w:r>
          </w:p>
        </w:tc>
      </w:tr>
      <w:tr w:rsidR="00B30308" w:rsidRPr="00EE706C" w14:paraId="32955EAF"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083244EA"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74</w:t>
            </w:r>
          </w:p>
        </w:tc>
        <w:tc>
          <w:tcPr>
            <w:tcW w:w="2548" w:type="dxa"/>
            <w:tcBorders>
              <w:top w:val="nil"/>
              <w:left w:val="nil"/>
              <w:bottom w:val="single" w:sz="4" w:space="0" w:color="auto"/>
              <w:right w:val="single" w:sz="4" w:space="0" w:color="auto"/>
            </w:tcBorders>
            <w:hideMark/>
          </w:tcPr>
          <w:p w14:paraId="0B8A6EF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Văn Hòa - Đồng Tháp</w:t>
            </w:r>
          </w:p>
        </w:tc>
        <w:tc>
          <w:tcPr>
            <w:tcW w:w="4394" w:type="dxa"/>
            <w:tcBorders>
              <w:top w:val="nil"/>
              <w:left w:val="nil"/>
              <w:bottom w:val="single" w:sz="4" w:space="0" w:color="auto"/>
              <w:right w:val="single" w:sz="4" w:space="0" w:color="auto"/>
            </w:tcBorders>
            <w:hideMark/>
          </w:tcPr>
          <w:p w14:paraId="0C437B1F"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Nhà nước cần có chính sách đào tạo, thu hút và chế độ bồi dưỡng cho các chuyên gia đầu ngành trong và ngoài nước để phát triển công nghệ AI tiên tiến, dù chế độ có cao đi nữa. Cần ưu tiên đào tạo chuyên gia trong nước. "Tôi nghĩ cần ưu tiên đào tạo chuyên gia trong nước và ưu tiên sử dụng những chuyên gia đầu ngành của nước ngoài trong các hoạt động AI sẽ rất phù hợp.".</w:t>
            </w:r>
          </w:p>
          <w:p w14:paraId="58CFEF24" w14:textId="7959FCC8"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Cần ưu tiên và có chế độ đãi ngộ cao để thu hút, sử dụng chuyên gia đầu ngành của nước ngoài, song song với việc ưu tiên đào tạo chuyên gia trong nước.</w:t>
            </w:r>
          </w:p>
        </w:tc>
        <w:tc>
          <w:tcPr>
            <w:tcW w:w="7087" w:type="dxa"/>
            <w:tcBorders>
              <w:top w:val="nil"/>
              <w:left w:val="nil"/>
              <w:bottom w:val="single" w:sz="4" w:space="0" w:color="auto"/>
              <w:right w:val="single" w:sz="4" w:space="0" w:color="auto"/>
            </w:tcBorders>
            <w:hideMark/>
          </w:tcPr>
          <w:p w14:paraId="133BF437"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Điều 22 của Dự thảo Luật đã xác định rõ định hướng ưu tiên phát triển đội ngũ chuyên gia, kỹ sư AI chất lượng cao, thúc đẩy chương trình đào tạo chuyên sâu, hợp tác quốc tế và phát triển nhóm nghiên cứu mạnh. Các chính sách đặc thù về đãi ngộ, thu hút, trọng dụng chuyên gia đầu ngành trong và ngoài nước, bao gồm hỗ trợ tài chính, cơ chế đặt hàng nghiên cứu, tuyển dụng linh hoạt… thuộc phạm vi điều chỉnh của Luật Khoa học và công nghệ, Luật Giáo dục đại học, Luật Viên chức và theo thẩm quyền Chính phủ sẽ quy định chi tiết để bảo đảm phù hợp với điều kiện ngân sách và thực tiễn tuyển dụng.</w:t>
            </w:r>
          </w:p>
          <w:p w14:paraId="3C162A1F" w14:textId="69B3010B"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Việc không đưa trực tiếp các chế độ đãi ngộ cụ thể vào Luật AI nhằm bảo đảm tính ổn định của đạo luật, nhưng khung pháp lý hiện hành đã đủ đầy để Chính phủ ban hành chính sách đặc thù thu hút nhân tài AI, nuôi dưỡng nhóm nghiên cứu mạnh và gắn kết với hệ sinh thái đổi mới sáng tạo như đề xuất của Đại biểu.</w:t>
            </w:r>
          </w:p>
        </w:tc>
      </w:tr>
      <w:tr w:rsidR="00B30308" w:rsidRPr="00EE706C" w14:paraId="0B040236" w14:textId="77777777" w:rsidTr="00B56CCF">
        <w:trPr>
          <w:trHeight w:val="2107"/>
        </w:trPr>
        <w:tc>
          <w:tcPr>
            <w:tcW w:w="708" w:type="dxa"/>
            <w:tcBorders>
              <w:top w:val="nil"/>
              <w:left w:val="single" w:sz="4" w:space="0" w:color="auto"/>
              <w:bottom w:val="single" w:sz="4" w:space="0" w:color="auto"/>
              <w:right w:val="single" w:sz="4" w:space="0" w:color="auto"/>
            </w:tcBorders>
            <w:hideMark/>
          </w:tcPr>
          <w:p w14:paraId="275E38B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75</w:t>
            </w:r>
          </w:p>
        </w:tc>
        <w:tc>
          <w:tcPr>
            <w:tcW w:w="2548" w:type="dxa"/>
            <w:tcBorders>
              <w:top w:val="nil"/>
              <w:left w:val="nil"/>
              <w:bottom w:val="single" w:sz="4" w:space="0" w:color="auto"/>
              <w:right w:val="single" w:sz="4" w:space="0" w:color="auto"/>
            </w:tcBorders>
            <w:hideMark/>
          </w:tcPr>
          <w:p w14:paraId="64B38A5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Văn Hòa - Đồng Tháp</w:t>
            </w:r>
          </w:p>
        </w:tc>
        <w:tc>
          <w:tcPr>
            <w:tcW w:w="4394" w:type="dxa"/>
            <w:tcBorders>
              <w:top w:val="nil"/>
              <w:left w:val="nil"/>
              <w:bottom w:val="single" w:sz="4" w:space="0" w:color="auto"/>
              <w:right w:val="single" w:sz="4" w:space="0" w:color="auto"/>
            </w:tcBorders>
            <w:hideMark/>
          </w:tcPr>
          <w:p w14:paraId="56CF2A1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Nội dung góp ý chính: Đồng tình với việc thành lập Ủy ban Quốc gia về Trí tuệ Nhân tạo (theo giải trình của cơ quan soạn thảo), nhưng đề nghị phải phân biệt rõ ràng, cụ thể với Ban Chỉ đạo quốc gia về chuyển đổi số để tránh trùng lặp về nhân sự và không làm tăng chi ngân sách. "Tuy nhiên, đề nghị nên phân biệt rạch ròi, cụ thể giữa Ủy ban này đối với Ban Chỉ đạo quốc gia về chuyển đổi số để hoạt động không trùng lắp về nhân sự </w:t>
            </w:r>
            <w:r w:rsidRPr="00AA4A03">
              <w:rPr>
                <w:rFonts w:ascii="Times New Roman" w:eastAsia="Times New Roman" w:hAnsi="Times New Roman" w:cs="Times New Roman"/>
                <w:color w:val="000000"/>
                <w:kern w:val="0"/>
                <w:sz w:val="26"/>
                <w:szCs w:val="26"/>
                <w:lang w:val="vi-VN"/>
                <w14:ligatures w14:val="none"/>
              </w:rPr>
              <w:lastRenderedPageBreak/>
              <w:t>và không làm tăng chi cho ngân sách.".</w:t>
            </w:r>
            <w:r w:rsidRPr="00AA4A03">
              <w:rPr>
                <w:rFonts w:ascii="Times New Roman" w:eastAsia="Times New Roman" w:hAnsi="Times New Roman" w:cs="Times New Roman"/>
                <w:color w:val="000000"/>
                <w:kern w:val="0"/>
                <w:sz w:val="26"/>
                <w:szCs w:val="26"/>
                <w:lang w:val="vi-VN"/>
                <w14:ligatures w14:val="none"/>
              </w:rPr>
              <w:br/>
              <w:t>Đề xuất, kiến nghị: Yêu cầu Chính phủ và Ban soạn thảo làm rõ cơ chế hoạt động, nhiệm vụ, quyền hạn và phân biệt nhân sự của Ủy ban Quốc gia về AI so với Ban Chỉ đạo quốc gia về Chuyển đổi số.</w:t>
            </w:r>
          </w:p>
        </w:tc>
        <w:tc>
          <w:tcPr>
            <w:tcW w:w="7087" w:type="dxa"/>
            <w:tcBorders>
              <w:top w:val="nil"/>
              <w:left w:val="nil"/>
              <w:bottom w:val="single" w:sz="4" w:space="0" w:color="auto"/>
              <w:right w:val="single" w:sz="4" w:space="0" w:color="auto"/>
            </w:tcBorders>
            <w:hideMark/>
          </w:tcPr>
          <w:p w14:paraId="648E58D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Ban soạn thảo trân trọng ghi nhận ý kiến đề nghị làm rõ cơ chế hoạt động, nhiệm vụ, quyền hạn và phân biệt nhân sự của Ủy ban Quốc gia về trí tuệ nhân tạo so với Ban Chỉ đạo quốc gia về chuyển đổi số (nay là Ban Chỉ đạo của Chính phủ về phát triển khoa học, công nghệ, đổi mới sáng tạo, chuyển đổi số), và có giải trình như sau. Tuy nhiên, việc quy định cứng mô hình tổ chức trong Luật là chưa phù hợp với Luật Tổ chức Chính phủ. Tuân thủ quy định vấn đề tổ chức hành chính thuộc thẩm quyền quyết định của Chính phủ hoặc Thủ tướng, Ban soạn thảo đã tiếp thu theo nhiều ý kiến góp ý và thống nhất không quy định về Ủy ban Quốc gia về trí tuệ nhân tạo hay cơ cấu tương tự trong Luật. Bên cạnh đó, Dự thảo Luật AI </w:t>
            </w:r>
            <w:r w:rsidRPr="00AA4A03">
              <w:rPr>
                <w:rFonts w:ascii="Times New Roman" w:eastAsia="Times New Roman" w:hAnsi="Times New Roman" w:cs="Times New Roman"/>
                <w:color w:val="000000"/>
                <w:kern w:val="0"/>
                <w:sz w:val="26"/>
                <w:szCs w:val="26"/>
                <w:lang w:val="vi-VN"/>
                <w14:ligatures w14:val="none"/>
              </w:rPr>
              <w:lastRenderedPageBreak/>
              <w:t>được thiết kế theo hướng luật khung, quy định nguyên tắc và cơ chế quản trị rủi ro, còn mô hình tổ chức sẽ do Chính phủ quyết định tùy theo yêu cầu thực tiễn và mức độ phát triển của hệ sinh thái AI.</w:t>
            </w:r>
          </w:p>
        </w:tc>
      </w:tr>
      <w:tr w:rsidR="00B30308" w:rsidRPr="00EE706C" w14:paraId="10F866D8"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33D584C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76</w:t>
            </w:r>
          </w:p>
        </w:tc>
        <w:tc>
          <w:tcPr>
            <w:tcW w:w="2548" w:type="dxa"/>
            <w:tcBorders>
              <w:top w:val="nil"/>
              <w:left w:val="nil"/>
              <w:bottom w:val="single" w:sz="4" w:space="0" w:color="auto"/>
              <w:right w:val="single" w:sz="4" w:space="0" w:color="auto"/>
            </w:tcBorders>
            <w:hideMark/>
          </w:tcPr>
          <w:p w14:paraId="21543BE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Văn Hòa - Đồng Tháp</w:t>
            </w:r>
          </w:p>
        </w:tc>
        <w:tc>
          <w:tcPr>
            <w:tcW w:w="4394" w:type="dxa"/>
            <w:tcBorders>
              <w:top w:val="nil"/>
              <w:left w:val="nil"/>
              <w:bottom w:val="single" w:sz="4" w:space="0" w:color="auto"/>
              <w:right w:val="single" w:sz="4" w:space="0" w:color="auto"/>
            </w:tcBorders>
            <w:hideMark/>
          </w:tcPr>
          <w:p w14:paraId="35303DB9"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Nhất trí với việc Ban soạn thảo đã tiếp thu ý kiến và bỏ phân loại rủi ro thứ tư ("rủi ro không chấp nhận được") vì khái niệm này trước đây chưa được giải thích rõ. "Ban soạn thảo tiếp thu bỏ phân loại thứ tư này là rất cần thiết.".</w:t>
            </w:r>
          </w:p>
          <w:p w14:paraId="378B1D28" w14:textId="7DBF7674"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Nhất trí với việc Dự thảo chỉ còn 3 mức độ rủi ro (Cao, Trung bình, Thấp).</w:t>
            </w:r>
          </w:p>
        </w:tc>
        <w:tc>
          <w:tcPr>
            <w:tcW w:w="7087" w:type="dxa"/>
            <w:tcBorders>
              <w:top w:val="nil"/>
              <w:left w:val="nil"/>
              <w:bottom w:val="single" w:sz="4" w:space="0" w:color="auto"/>
              <w:right w:val="single" w:sz="4" w:space="0" w:color="auto"/>
            </w:tcBorders>
            <w:hideMark/>
          </w:tcPr>
          <w:p w14:paraId="6EEA544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Trong quá trình hoàn thiện Dự thảo, Ban soạn thảo đã tiếp thu và bỏ phân loại “rủi ro không chấp nhận được”, vì mức rủi ro này có bản chất trùng với các hành vi bị pháp luật nghiêm cấm và không có tiêu chí kỹ thuật đủ rõ ràng để phân biệt với nhóm rủi ro cao. Thay vào đó, Dự thảo đã bổ sung và hoàn thiện một điều riêng về hành vi bị cấm tại Điều 6, liệt kê đầy đủ các hành vi xâm phạm quyền con người, thao túng nhận thức, tạo nội dung giả mạo nguy hiểm, lạm dụng dữ liệu, can thiệp trái phép vào cơ chế kiểm soát AI… Qua đó, hệ thống pháp luật vẫn bảo đảm kiểm soát chặt chẽ các hành vi và ứng dụng AI không thể chấp nhận được, nhưng theo cách tiếp cận rõ ràng, dễ áp dụng và thống nhất với luật chuyên ngành. Như vậy, việc bỏ mức rủi ro thứ tư không làm giảm mức độ kiểm soát mà giúp cấu trúc điều luật minh bạch và khả thi hơn.</w:t>
            </w:r>
          </w:p>
        </w:tc>
      </w:tr>
      <w:tr w:rsidR="00B30308" w:rsidRPr="00EE706C" w14:paraId="5E29C5BA"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248E3693"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77</w:t>
            </w:r>
          </w:p>
        </w:tc>
        <w:tc>
          <w:tcPr>
            <w:tcW w:w="2548" w:type="dxa"/>
            <w:tcBorders>
              <w:top w:val="nil"/>
              <w:left w:val="nil"/>
              <w:bottom w:val="single" w:sz="4" w:space="0" w:color="auto"/>
              <w:right w:val="single" w:sz="4" w:space="0" w:color="auto"/>
            </w:tcBorders>
            <w:hideMark/>
          </w:tcPr>
          <w:p w14:paraId="7ED0718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Văn Hòa - Đồng Tháp</w:t>
            </w:r>
          </w:p>
        </w:tc>
        <w:tc>
          <w:tcPr>
            <w:tcW w:w="4394" w:type="dxa"/>
            <w:tcBorders>
              <w:top w:val="nil"/>
              <w:left w:val="nil"/>
              <w:bottom w:val="single" w:sz="4" w:space="0" w:color="auto"/>
              <w:right w:val="single" w:sz="4" w:space="0" w:color="auto"/>
            </w:tcBorders>
            <w:hideMark/>
          </w:tcPr>
          <w:p w14:paraId="1DA036D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Rất quan tâm đối với hệ thống AI có rủi ro cao vì có khả năng gây thiệt hại đáng kể về sinh mạng, tài sản và quyền lợi hợp pháp của con người. Đề nghị Ban soạn thảo cần đảm bảo việc đánh giá phải khách quan, chính xác, từng bước, từng phần. Cần có kiểm soát và đánh giá khả năng rủi ro trước khi áp dụng ra ngoài thị trường. "Cho nên, việc đánh giá khách quan về công nghệ rủi ro của AI là hết sức cần thiết.".</w:t>
            </w:r>
            <w:r w:rsidRPr="00AA4A03">
              <w:rPr>
                <w:rFonts w:ascii="Times New Roman" w:eastAsia="Times New Roman" w:hAnsi="Times New Roman" w:cs="Times New Roman"/>
                <w:color w:val="000000"/>
                <w:kern w:val="0"/>
                <w:sz w:val="26"/>
                <w:szCs w:val="26"/>
                <w:lang w:val="vi-VN"/>
                <w14:ligatures w14:val="none"/>
              </w:rPr>
              <w:br/>
              <w:t>Đề xuất, kiến nghị: Cần có quy định rõ ràng về việc đánh giá khách quan công nghệ AI rủi ro cao khi chưa áp dụng ra thị trường/thực tiễn để kiểm soát mức độ rủi ro và khả năng gây thiệt hại.</w:t>
            </w:r>
          </w:p>
        </w:tc>
        <w:tc>
          <w:tcPr>
            <w:tcW w:w="7087" w:type="dxa"/>
            <w:tcBorders>
              <w:top w:val="nil"/>
              <w:left w:val="nil"/>
              <w:bottom w:val="single" w:sz="4" w:space="0" w:color="auto"/>
              <w:right w:val="single" w:sz="4" w:space="0" w:color="auto"/>
            </w:tcBorders>
            <w:hideMark/>
          </w:tcPr>
          <w:p w14:paraId="266588A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Ý kiến của Đại biểu về sự cần thiết của việc đánh giá khách quan, tiền thị trường là xác đáng và đã được Dự thảo Luật quy định đầy đủ. Điều 12 khoản 1 quy định Hệ thống trí tuệ nhân tạo có rủi ro cao phải được đánh giá sự phù hợp trước khi lưu hành. Việc đánh giá sự phù hợp có thể được thực hiện dưới hình thức Chứng nhận sự phù hợp do tổ chức được chỉ định hoặc thừa nhận thực hiện (Điều 12 khoản 3a). Cơ chế này bảo đảm việc kiểm soát và đánh giá rủi ro được thực hiện một cách khách quan bởi bên thứ ba hoặc tổ chức có thẩm quyền ngay từ giai đoạn trước khi hệ thống được áp dụng ra ngoài thị trường. Mục tiêu này phù hợp với định hướng quản lý rủi ro của Luật AI.</w:t>
            </w:r>
          </w:p>
        </w:tc>
      </w:tr>
      <w:tr w:rsidR="00B30308" w:rsidRPr="00EE706C" w14:paraId="7CB3A8DA"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03935068"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78</w:t>
            </w:r>
          </w:p>
        </w:tc>
        <w:tc>
          <w:tcPr>
            <w:tcW w:w="2548" w:type="dxa"/>
            <w:tcBorders>
              <w:top w:val="nil"/>
              <w:left w:val="nil"/>
              <w:bottom w:val="single" w:sz="4" w:space="0" w:color="auto"/>
              <w:right w:val="single" w:sz="4" w:space="0" w:color="auto"/>
            </w:tcBorders>
            <w:hideMark/>
          </w:tcPr>
          <w:p w14:paraId="4580657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Văn Hòa - Đồng Tháp</w:t>
            </w:r>
          </w:p>
        </w:tc>
        <w:tc>
          <w:tcPr>
            <w:tcW w:w="4394" w:type="dxa"/>
            <w:tcBorders>
              <w:top w:val="nil"/>
              <w:left w:val="nil"/>
              <w:bottom w:val="single" w:sz="4" w:space="0" w:color="auto"/>
              <w:right w:val="single" w:sz="4" w:space="0" w:color="auto"/>
            </w:tcBorders>
            <w:hideMark/>
          </w:tcPr>
          <w:p w14:paraId="69C1959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Nội dung góp ý chính: Rất đồng tình với nghĩa vụ minh bạch và gắn nhãn, mác cho AI. Việc này rất cần thiết để người dân biết được đâu là công nghệ AI và đâu là hoạt động truyền thống, tránh bị lầm tưởng. Đại biểu nêu ví dụ về AI giả lập con người (deepfake): "Tôi nói ví dụ trí tuệ nhân tạo giả con người được, ghép đầu của người này vào thân của người khác, mình biết nên phải nói rõ trường </w:t>
            </w:r>
            <w:r w:rsidRPr="00AA4A03">
              <w:rPr>
                <w:rFonts w:ascii="Times New Roman" w:eastAsia="Times New Roman" w:hAnsi="Times New Roman" w:cs="Times New Roman"/>
                <w:color w:val="000000"/>
                <w:kern w:val="0"/>
                <w:sz w:val="26"/>
                <w:szCs w:val="26"/>
                <w:lang w:val="vi-VN"/>
                <w14:ligatures w14:val="none"/>
              </w:rPr>
              <w:lastRenderedPageBreak/>
              <w:t>hợp này là trí tuệ nhân đạo chứ không phải con người thật, hoặc giả hình ảnh, tiếng nói, khuôn mặt, v.v. giống hệt con người.".</w:t>
            </w:r>
            <w:r w:rsidRPr="00AA4A03">
              <w:rPr>
                <w:rFonts w:ascii="Times New Roman" w:eastAsia="Times New Roman" w:hAnsi="Times New Roman" w:cs="Times New Roman"/>
                <w:color w:val="000000"/>
                <w:kern w:val="0"/>
                <w:sz w:val="26"/>
                <w:szCs w:val="26"/>
                <w:lang w:val="vi-VN"/>
                <w14:ligatures w14:val="none"/>
              </w:rPr>
              <w:br/>
              <w:t>Đề xuất, kiến nghị: Yêu cầu gắn nhãn mác công nghệ này rõ ràng để người tiêu dùng biết phân biệt, tránh nhầm lẫn và biết cách điều chỉnh hành vi.</w:t>
            </w:r>
          </w:p>
        </w:tc>
        <w:tc>
          <w:tcPr>
            <w:tcW w:w="7087" w:type="dxa"/>
            <w:tcBorders>
              <w:top w:val="nil"/>
              <w:left w:val="nil"/>
              <w:bottom w:val="single" w:sz="4" w:space="0" w:color="auto"/>
              <w:right w:val="single" w:sz="4" w:space="0" w:color="auto"/>
            </w:tcBorders>
            <w:hideMark/>
          </w:tcPr>
          <w:p w14:paraId="4293C7D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Ban soạn thảo xin báo cáo như sau: Ban soạn thảo hoàn toàn đồng thuận với nhận định của Đại biểu về sự cần thiết phải minh bạch và gắn nhãn rõ ràng đối với nội dung do AI tạo ra, đặc biệt đối với các trường hợp mô phỏng, giả lập hình ảnh, tiếng nói hoặc khuôn mặt con người. Điều 10 của Dự thảo Luật đã quy định rõ nghĩa vụ gắn nhãn và đánh dấu dạng máy đọc đối với nội dung do AI tạo hoặc chỉnh sửa, nhằm giúp người dân dễ dàng nhận biết đâu là sản phẩm của AI và tránh bị nhầm lẫn, bao gồm cả các trường hợp deepfake như ví dụ Đại biểu nêu. Đồng thời, Điểm b và điểm d khoản 2 Điều 6 nghiêm cấm hành vi sử dụng yếu tố giả mạo để lừa </w:t>
            </w:r>
            <w:r w:rsidRPr="00AA4A03">
              <w:rPr>
                <w:rFonts w:ascii="Times New Roman" w:eastAsia="Times New Roman" w:hAnsi="Times New Roman" w:cs="Times New Roman"/>
                <w:color w:val="000000"/>
                <w:kern w:val="0"/>
                <w:sz w:val="26"/>
                <w:szCs w:val="26"/>
                <w:lang w:val="vi-VN"/>
                <w14:ligatures w14:val="none"/>
              </w:rPr>
              <w:lastRenderedPageBreak/>
              <w:t>dối, thao túng nhận thức hoặc tạo nội dung giả mạo gây nguy hại đến an ninh, trật tự xã hội. Các quy định này kết hợp vừa đảm bảo minh bạch, vừa ngăn chặn các hành vi deepfake độc hại. Do đó, đề xuất của Đại biểu đã được phản ánh đầy đủ trong Điều 6 và Điều 10, không cần bổ sung thêm quy định vào Luật.</w:t>
            </w:r>
          </w:p>
        </w:tc>
      </w:tr>
      <w:tr w:rsidR="00B30308" w:rsidRPr="00EE706C" w14:paraId="754FA25F"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1361B8DF"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79</w:t>
            </w:r>
          </w:p>
        </w:tc>
        <w:tc>
          <w:tcPr>
            <w:tcW w:w="2548" w:type="dxa"/>
            <w:tcBorders>
              <w:top w:val="nil"/>
              <w:left w:val="nil"/>
              <w:bottom w:val="single" w:sz="4" w:space="0" w:color="auto"/>
              <w:right w:val="single" w:sz="4" w:space="0" w:color="auto"/>
            </w:tcBorders>
            <w:hideMark/>
          </w:tcPr>
          <w:p w14:paraId="26FDF84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Phạm Văn Hòa - Đồng Tháp</w:t>
            </w:r>
          </w:p>
        </w:tc>
        <w:tc>
          <w:tcPr>
            <w:tcW w:w="4394" w:type="dxa"/>
            <w:tcBorders>
              <w:top w:val="nil"/>
              <w:left w:val="nil"/>
              <w:bottom w:val="single" w:sz="4" w:space="0" w:color="auto"/>
              <w:right w:val="single" w:sz="4" w:space="0" w:color="auto"/>
            </w:tcBorders>
            <w:hideMark/>
          </w:tcPr>
          <w:p w14:paraId="782AE7F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Trách nhiệm pháp lý rất lớn, cần được phân định rạch ròi, cụ thể giữa 4 chủ thể: nhà phát triển, nhà cung cấp, bên triển khai và người sử dụng. Cần quy định rõ trách nhiệm và quyền hạn của mỗi chủ thể vì có trường hợp AI được phát triển tốt (đạo đức chuẩn) nhưng bị lái sang mục đích xấu (lừa gạt, lợi ích riêng tư) khi qua nhà cung cấp hoặc người sử dụng. "Ví dụ có thể nhà phát triển phát triển rất tốt, đạo đức AI rất chuẩn nhưng khi đưa tới nhà cung cấp và người sử dụng lái ra sử dụng những công nghệ hoạt động có tính xấu hơn...".</w:t>
            </w:r>
            <w:r w:rsidRPr="00AA4A03">
              <w:rPr>
                <w:rFonts w:ascii="Times New Roman" w:eastAsia="Times New Roman" w:hAnsi="Times New Roman" w:cs="Times New Roman"/>
                <w:color w:val="000000"/>
                <w:kern w:val="0"/>
                <w:sz w:val="26"/>
                <w:szCs w:val="26"/>
                <w:lang w:val="vi-VN"/>
                <w14:ligatures w14:val="none"/>
              </w:rPr>
              <w:br/>
              <w:t xml:space="preserve">Đề xuất, kiến nghị: Cần quy định rạch ròi, cụ thể nhiệm vụ, quyền hạn và trách nhiệm của từng chủ thể trong luật để </w:t>
            </w:r>
            <w:r w:rsidRPr="00AA4A03">
              <w:rPr>
                <w:rFonts w:ascii="Times New Roman" w:eastAsia="Times New Roman" w:hAnsi="Times New Roman" w:cs="Times New Roman"/>
                <w:color w:val="000000"/>
                <w:kern w:val="0"/>
                <w:sz w:val="26"/>
                <w:szCs w:val="26"/>
                <w:lang w:val="vi-VN"/>
                <w14:ligatures w14:val="none"/>
              </w:rPr>
              <w:lastRenderedPageBreak/>
              <w:t>đảm bảo tính răn đe và trách nhiệm giải trình.</w:t>
            </w:r>
          </w:p>
        </w:tc>
        <w:tc>
          <w:tcPr>
            <w:tcW w:w="7087" w:type="dxa"/>
            <w:tcBorders>
              <w:top w:val="nil"/>
              <w:left w:val="nil"/>
              <w:bottom w:val="single" w:sz="4" w:space="0" w:color="auto"/>
              <w:right w:val="single" w:sz="4" w:space="0" w:color="auto"/>
            </w:tcBorders>
            <w:hideMark/>
          </w:tcPr>
          <w:p w14:paraId="21124B6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Ban soạn thảo xin báo cáo như sau: Ban soạn thảo hoàn toàn đồng tình với yêu cầu phải phân định rạch ròi trách nhiệm giữa Nhà phát triển – Nhà cung cấp – Bên triển khai – Người sử dụng, nhất là trong bối cảnh một mô hình AI có thể bị sử dụng sai lệch mục đích khi chuyển qua nhiều chủ thể. Dự thảo Luật AI đã thiết kế hệ thống trách nhiệm theo mô hình tuyến tính theo vòng đời AI, trong đó: Điều 3 định nghĩa rõ từng chủ thể; Điều 10 quy định nghĩa vụ minh bạch đối với Nhà cung cấp và Bên triển khai; Điều 11 quy định trách nhiệm phát hiện – xử lý sự cố; Điều 13 quy định chặt chẽ nghĩa vụ của Nhà cung cấp và Bên triển khai đối với hệ thống AI rủi ro cao (đánh giá rủi ro, kiểm soát, giải trình, duy trì khả năng can thiệp của con người…); và Điều 28 quy định trách nhiệm bồi thường khi gây thiệt hại. Thiết kế này bảo đảm mỗi chủ thể chịu trách nhiệm đối với phần việc của mình và không thể “chuyển lỗi” cho chủ thể khác. Vì vậy, các yêu cầu của Đại biểu đã được phản ánh đầy đủ trong Luật, không cần bổ sung điều khoản mới.</w:t>
            </w:r>
          </w:p>
        </w:tc>
      </w:tr>
      <w:tr w:rsidR="00B30308" w:rsidRPr="00EE706C" w14:paraId="53DE8F3B" w14:textId="77777777" w:rsidTr="00B56CCF">
        <w:trPr>
          <w:trHeight w:val="548"/>
        </w:trPr>
        <w:tc>
          <w:tcPr>
            <w:tcW w:w="708" w:type="dxa"/>
            <w:tcBorders>
              <w:top w:val="nil"/>
              <w:left w:val="single" w:sz="4" w:space="0" w:color="auto"/>
              <w:bottom w:val="single" w:sz="4" w:space="0" w:color="auto"/>
              <w:right w:val="single" w:sz="4" w:space="0" w:color="auto"/>
            </w:tcBorders>
            <w:hideMark/>
          </w:tcPr>
          <w:p w14:paraId="0B14FE5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80</w:t>
            </w:r>
          </w:p>
        </w:tc>
        <w:tc>
          <w:tcPr>
            <w:tcW w:w="2548" w:type="dxa"/>
            <w:tcBorders>
              <w:top w:val="nil"/>
              <w:left w:val="nil"/>
              <w:bottom w:val="single" w:sz="4" w:space="0" w:color="auto"/>
              <w:right w:val="single" w:sz="4" w:space="0" w:color="auto"/>
            </w:tcBorders>
            <w:hideMark/>
          </w:tcPr>
          <w:p w14:paraId="3F6F065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477C4639"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Phạm vi điều chỉnh Luật đối với hệ thống AI sử dụng riêng cho mục đích quốc phòng, an ninh cần có tiêu chí xác định rõ ràng hơn để đảm bảo cơ chế kiểm soát khi chuyển đổi mục đích.</w:t>
            </w:r>
          </w:p>
          <w:p w14:paraId="2152CED6" w14:textId="5E3F8FCB"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Làm rõ đặc tính riêng của hệ thống thuộc quốc phòng, an ninh và bổ sung cơ chế kiểm soát khi các hệ thống này được chuyển sang mục đích dân sự.</w:t>
            </w:r>
          </w:p>
        </w:tc>
        <w:tc>
          <w:tcPr>
            <w:tcW w:w="7087" w:type="dxa"/>
            <w:tcBorders>
              <w:top w:val="nil"/>
              <w:left w:val="nil"/>
              <w:bottom w:val="single" w:sz="4" w:space="0" w:color="auto"/>
              <w:right w:val="single" w:sz="4" w:space="0" w:color="auto"/>
            </w:tcBorders>
            <w:hideMark/>
          </w:tcPr>
          <w:p w14:paraId="00D5A71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Cơ quan chủ trì soạn thảo xin trả lời ý kiến như sau: Giải trình ý kiến của Đại biểu Quốc hội, Dự thảo Luật đã quy định rõ ranh giới áp dụng đối với hệ thống trí tuệ nhân tạo lưỡng dụng tại khoản 3 Điều 1: trường hợp hệ thống trí tuệ nhân tạo được nghiên cứu, phát triển, cung cấp, triển khai và sử dụng riêng cho mục đích quốc phòng, an ninh, cơ yếu nhưng được sử dụng cho mục đích khác với mục đích đã quy định thì hệ thống đó thuộc phạm vi điều chỉnh của Luật này. Quy định tại khoản 3 Điều 1 là cần thiết để ngăn ngừa khoảng trống pháp lý và bảo đảm có cơ chế quản lý đầy đủ đối với hệ thống AI có thể chuyển đổi mục đích sử dụng. Việc triển khai các hệ thống AI phục vụ quốc phòng, an ninh, cơ yếu thuộc trách nhiệm hướng dẫn của Bộ Quốc phòng, Bộ Công an theo quy định của pháp luật chuyên ngành. Việc xem xét chuyển sang mục đích dân sự thuộc trách nhiệm của cơ quan, tổ chức quản lý, vận hành hệ thống; khi hệ thống được sử dụng cho mục đích dân sự thì thuộc phạm vi điều chỉnh của Luật này và phải chịu sự giám sát theo các </w:t>
            </w:r>
            <w:r w:rsidRPr="00AA4A03">
              <w:rPr>
                <w:rFonts w:ascii="Times New Roman" w:eastAsia="Times New Roman" w:hAnsi="Times New Roman" w:cs="Times New Roman"/>
                <w:color w:val="000000"/>
                <w:kern w:val="0"/>
                <w:sz w:val="26"/>
                <w:szCs w:val="26"/>
                <w:lang w:val="vi-VN"/>
                <w14:ligatures w14:val="none"/>
              </w:rPr>
              <w:lastRenderedPageBreak/>
              <w:t>quy định của Luật này. Như vậy, Dự thảo đã thể hiện rõ đặc tính riêng và cơ chế kiểm soát khi chuyển đổi mục đích sử dụng.</w:t>
            </w:r>
          </w:p>
        </w:tc>
      </w:tr>
      <w:tr w:rsidR="00B30308" w:rsidRPr="00EE706C" w14:paraId="3FA33CCC"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1C29B7D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81</w:t>
            </w:r>
          </w:p>
        </w:tc>
        <w:tc>
          <w:tcPr>
            <w:tcW w:w="2548" w:type="dxa"/>
            <w:tcBorders>
              <w:top w:val="nil"/>
              <w:left w:val="nil"/>
              <w:bottom w:val="single" w:sz="4" w:space="0" w:color="auto"/>
              <w:right w:val="single" w:sz="4" w:space="0" w:color="auto"/>
            </w:tcBorders>
            <w:hideMark/>
          </w:tcPr>
          <w:p w14:paraId="077F915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3E1216B8"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có cơ chế quản lý rõ ràng đối với doanh nghiệp nước ngoài cung cấp AI xuyên biên giới vào Việt Nam khi họ không có pháp nhân trong nước.</w:t>
            </w:r>
          </w:p>
          <w:p w14:paraId="43F6D02E" w14:textId="02923544"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Ban soạn thảo bổ sung yêu cầu có đại diện pháp lý tại Việt Nam đối với mô hình đa dụng (GPAI) hoặc mô hình rủi ro cao được cung cấp xuyên biên giới.</w:t>
            </w:r>
          </w:p>
        </w:tc>
        <w:tc>
          <w:tcPr>
            <w:tcW w:w="7087" w:type="dxa"/>
            <w:tcBorders>
              <w:top w:val="nil"/>
              <w:left w:val="nil"/>
              <w:bottom w:val="single" w:sz="4" w:space="0" w:color="auto"/>
              <w:right w:val="single" w:sz="4" w:space="0" w:color="auto"/>
            </w:tcBorders>
            <w:hideMark/>
          </w:tcPr>
          <w:p w14:paraId="6E9D42E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Dự thảo Luật đã quy định cơ chế quản lý đối với hoạt động cung cấp hệ thống trí tuệ nhân tạo xuyên biên giới. Điều 2 xác định Luật áp dụng đối với tổ chức, cá nhân nước ngoài tham gia vào các hoạt động AI tại Việt Nam, theo cách tiếp cận tương tự mô hình “lãnh thổ mở rộng” của quốc tế, lấy tác động đến công dân, thị trường và dữ liệu Việt Nam làm tiêu chí áp dụng. Đặc biệt, đối với hệ thống AI có rủi ro cao (trong đó bao gồm các mô hình nền tảng có khả năng gây rủi ro hệ thống), khoản 6 Điều 13 quy định nhà cung cấp nước ngoài có hệ thống trí tuệ nhân tạo có rủi ro cao được cung cấp tại Việt Nam phải có đầu mối liên hệ hợp pháp tại Việt Nam; trường hợp hệ thống thuộc diện bắt buộc chứng nhận sự phù hợp trước khi lưu hành thì phải có pháp nhân hoặc đại diện được ủy quyền tại Việt Nam. Quy định này bảo đảm trách nhiệm giải trình và khả năng kiểm soát của Nhà nước đối với các hệ thống AI xuyên biên giới có rủi ro cao, qua đó đã phản ánh nội dung kiến nghị của Đại biểu về yêu cầu đại diện pháp lý tại Việt Nam.</w:t>
            </w:r>
          </w:p>
        </w:tc>
      </w:tr>
      <w:tr w:rsidR="00B30308" w:rsidRPr="00EE706C" w14:paraId="34432F4C"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74602E81"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82</w:t>
            </w:r>
          </w:p>
        </w:tc>
        <w:tc>
          <w:tcPr>
            <w:tcW w:w="2548" w:type="dxa"/>
            <w:tcBorders>
              <w:top w:val="nil"/>
              <w:left w:val="nil"/>
              <w:bottom w:val="single" w:sz="4" w:space="0" w:color="auto"/>
              <w:right w:val="single" w:sz="4" w:space="0" w:color="auto"/>
            </w:tcBorders>
            <w:hideMark/>
          </w:tcPr>
          <w:p w14:paraId="28E5073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7553C37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Nhiều thuật ngữ tại Điều 3 còn định tính và thiếu tiêu chí đo lường cụ thể (như AI rủi ro cao, rủi ro hệ thống, khả năng kiểm soát của con người), dễ gây tranh chấp.</w:t>
            </w:r>
            <w:r w:rsidRPr="00AA4A03">
              <w:rPr>
                <w:rFonts w:ascii="Times New Roman" w:eastAsia="Times New Roman" w:hAnsi="Times New Roman" w:cs="Times New Roman"/>
                <w:color w:val="000000"/>
                <w:kern w:val="0"/>
                <w:sz w:val="26"/>
                <w:szCs w:val="26"/>
                <w:lang w:val="vi-VN"/>
                <w14:ligatures w14:val="none"/>
              </w:rPr>
              <w:br/>
              <w:t>Đề xuất, kiến nghị: Cần tham khảo định nghĩa của đạo luật AI của Liên minh Châu Âu đối với mô hình AI đa dụng (GPAI) và bổ sung các dấu hiệu nhận biết như khả năng sinh nội dung, năng lực suy luận, phạm vi ứng dụng đa lĩnh vực và mức độ tự học.</w:t>
            </w:r>
          </w:p>
        </w:tc>
        <w:tc>
          <w:tcPr>
            <w:tcW w:w="7087" w:type="dxa"/>
            <w:tcBorders>
              <w:top w:val="nil"/>
              <w:left w:val="nil"/>
              <w:bottom w:val="single" w:sz="4" w:space="0" w:color="auto"/>
              <w:right w:val="single" w:sz="4" w:space="0" w:color="auto"/>
            </w:tcBorders>
            <w:hideMark/>
          </w:tcPr>
          <w:p w14:paraId="297DB1C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như sau: Các thuật ngữ được quy định tại Điều 3 được thiết kế theo hướng khái quát, ổn định và bảo đảm tính trung lập công nghệ, phù hợp với kỹ thuật lập pháp và thông lệ quốc tế; theo đó, việc định lượng các khái niệm như “rủi ro cao”, “rủi ro hệ thống”, “khả năng kiểm soát của con người” không đặt tại phần giải thích từ ngữ mà được cụ thể hóa thông qua các tiêu chí pháp lý tại Điều 8–14 về phân loại rủi ro, nghĩa vụ an toàn, giám sát và yêu cầu can thiệp của con người khi vận hành hệ thống AI. Đối với đề nghị tham khảo cách định nghĩa mô hình AI đa dụng của Liên minh Châu Âu, Dự thảo Luật đã được thiết kế theo hướng đưa các quy định riêng về quản lý mô hình trí tuệ nhân tạo ra khỏi dự thảo Luật và tập trung quản lý hệ thống AI theo mức độ rủi ro; cách tiếp cận này linh hoạt hơn, bao quát cả các mô hình tạo sinh, mô hình đa dụng mà không cần liệt kê cứng nhắc các dấu hiệu kỹ thuật như khả năng sinh nội dung, năng lực suy luận hay phạm vi ứng dụng đa lĩnh vực. Như vậy, ý kiến của Đại biểu đã được nghiên cứu, tiếp thu một phần trong việc hoàn thiện cách tiếp cận quản lý theo mức độ rủi ro, đồng thời vẫn bảo đảm tính khái quát và ổn định của hệ thống khái niệm tại Điều 3.</w:t>
            </w:r>
          </w:p>
        </w:tc>
      </w:tr>
      <w:tr w:rsidR="00B30308" w:rsidRPr="00EE706C" w14:paraId="6BF6FCC5"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107A4570"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83</w:t>
            </w:r>
          </w:p>
        </w:tc>
        <w:tc>
          <w:tcPr>
            <w:tcW w:w="2548" w:type="dxa"/>
            <w:tcBorders>
              <w:top w:val="nil"/>
              <w:left w:val="nil"/>
              <w:bottom w:val="single" w:sz="4" w:space="0" w:color="auto"/>
              <w:right w:val="single" w:sz="4" w:space="0" w:color="auto"/>
            </w:tcBorders>
            <w:hideMark/>
          </w:tcPr>
          <w:p w14:paraId="3DC6907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05A0D03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bổ sung các định nghĩa mới để đảm bảo tính minh bạch và chống lạm dụng Deepfake.</w:t>
            </w:r>
            <w:r w:rsidRPr="00AA4A03">
              <w:rPr>
                <w:rFonts w:ascii="Times New Roman" w:eastAsia="Times New Roman" w:hAnsi="Times New Roman" w:cs="Times New Roman"/>
                <w:color w:val="000000"/>
                <w:kern w:val="0"/>
                <w:sz w:val="26"/>
                <w:szCs w:val="26"/>
                <w:lang w:val="vi-VN"/>
                <w14:ligatures w14:val="none"/>
              </w:rPr>
              <w:br/>
              <w:t>Đề xuất, kiến nghị: Bổ sung các định nghĩa mới như nội dung giả lập đầu ra do AI tạo ra, tương tác với AI để phục vụ yêu cầu gắn nhãn và cảnh báo người dùng.</w:t>
            </w:r>
          </w:p>
        </w:tc>
        <w:tc>
          <w:tcPr>
            <w:tcW w:w="7087" w:type="dxa"/>
            <w:tcBorders>
              <w:top w:val="nil"/>
              <w:left w:val="nil"/>
              <w:bottom w:val="single" w:sz="4" w:space="0" w:color="auto"/>
              <w:right w:val="single" w:sz="4" w:space="0" w:color="auto"/>
            </w:tcBorders>
            <w:hideMark/>
          </w:tcPr>
          <w:p w14:paraId="0561980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như sau: Yêu cầu về tính minh bạch và chống lạm dụng nội dung giả mạo (deepfake) là một trong những nguyên tắc quan trọng khi xây dựng Luật; nội dung này đã được Dự thảo Luật quy định một cách toàn diện tại Điều 10 về trách nhiệm minh bạch. Theo đó, Dự thảo Luật đã quy định rõ nghĩa vụ của Nhà cung cấp và Bên triển khai phải bảo đảm người sử dụng nhận biết khi đang tương tác với hệ thống AI, đồng thời bắt buộc gắn nhãn dễ nhận biết đối với nội dung âm thanh, hình ảnh, video được tạo ra hoặc chỉnh sửa bằng AI nhằm mô phỏng người thật hoặc sự kiện thực tế (deepfake). Cách thiết kế này cho phép đạt được mục tiêu tăng cường minh bạch và chống lạm dụng deepfake mà không cần bổ sung thêm các định nghĩa chi tiết tại Điều 3, qua đó giữ được tính linh hoạt và tránh liệt kê cứng nhắc trong một đạo luật khung.</w:t>
            </w:r>
          </w:p>
        </w:tc>
      </w:tr>
      <w:tr w:rsidR="00B30308" w:rsidRPr="00EE706C" w14:paraId="4F5839EF" w14:textId="77777777" w:rsidTr="00B56CCF">
        <w:trPr>
          <w:trHeight w:val="973"/>
        </w:trPr>
        <w:tc>
          <w:tcPr>
            <w:tcW w:w="708" w:type="dxa"/>
            <w:tcBorders>
              <w:top w:val="nil"/>
              <w:left w:val="single" w:sz="4" w:space="0" w:color="auto"/>
              <w:bottom w:val="single" w:sz="4" w:space="0" w:color="auto"/>
              <w:right w:val="single" w:sz="4" w:space="0" w:color="auto"/>
            </w:tcBorders>
            <w:hideMark/>
          </w:tcPr>
          <w:p w14:paraId="7D4BF824"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84</w:t>
            </w:r>
          </w:p>
        </w:tc>
        <w:tc>
          <w:tcPr>
            <w:tcW w:w="2548" w:type="dxa"/>
            <w:tcBorders>
              <w:top w:val="nil"/>
              <w:left w:val="nil"/>
              <w:bottom w:val="single" w:sz="4" w:space="0" w:color="auto"/>
              <w:right w:val="single" w:sz="4" w:space="0" w:color="auto"/>
            </w:tcBorders>
            <w:hideMark/>
          </w:tcPr>
          <w:p w14:paraId="667B708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28995AE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Danh mục hệ thống AI rủi ro cao đang quy định tương đối rộng, thiếu tiêu chí định lượng, tạo ra gánh nặng tuân thủ không cần thiết, đặc biệt là với doanh nghiệp nhỏ và vừa.</w:t>
            </w:r>
            <w:r w:rsidRPr="00AA4A03">
              <w:rPr>
                <w:rFonts w:ascii="Times New Roman" w:eastAsia="Times New Roman" w:hAnsi="Times New Roman" w:cs="Times New Roman"/>
                <w:color w:val="000000"/>
                <w:kern w:val="0"/>
                <w:sz w:val="26"/>
                <w:szCs w:val="26"/>
                <w:lang w:val="vi-VN"/>
                <w14:ligatures w14:val="none"/>
              </w:rPr>
              <w:br/>
              <w:t>Đề xuất, kiến nghị: Rà soát lại danh mục rủi ro cao theo hướng chỉ tập trung vào những hệ thống có thể gây tác động lớn tới quyền con người, quyền riêng tư, sức khỏe, tài chính và an toàn xã hội.</w:t>
            </w:r>
          </w:p>
        </w:tc>
        <w:tc>
          <w:tcPr>
            <w:tcW w:w="7087" w:type="dxa"/>
            <w:tcBorders>
              <w:top w:val="nil"/>
              <w:left w:val="nil"/>
              <w:bottom w:val="single" w:sz="4" w:space="0" w:color="auto"/>
              <w:right w:val="single" w:sz="4" w:space="0" w:color="auto"/>
            </w:tcBorders>
            <w:hideMark/>
          </w:tcPr>
          <w:p w14:paraId="0D67E6AA"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Cơ quan chủ trì soạn thảo xin trả lời ý kiến như sau: Ban soạn thảo thống nhất với nguyên tắc cần xác định Danh mục hệ thống AI rủi ro cao một cách trọng tâm. </w:t>
            </w:r>
          </w:p>
          <w:p w14:paraId="777E45FD"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Thứ nhất, về tiêu chí: Khoản 1 Điều 8 đã xác định rõ hệ thống rủi ro cao là hệ thống có thể gây thiệt hại đáng kể đến tính mạng, sức khỏe, quyền và lợi ích hợp pháp của tổ chức, cá nhân, lợi ích quốc gia, lợi ích công cộng, an ninh quốc gia. </w:t>
            </w:r>
          </w:p>
          <w:p w14:paraId="1E40A0DE" w14:textId="7A2BA5A3"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Thứ hai, về thẩm quyền: Để bảo đảm tính linh hoạt và chính xác, Dự thảo Luật đã thiết kế theo hướng giao Thủ tướng Chính phủ quy định Danh mục hệ thống trí tuệ nhân tạo có rủi ro cao (khoản 6 Điều 12). Việc giao thẩm quyền cho Thủ tướng Chính phủ sẽ bảo đảm Danh mục được xây dựng tinh gọn, trọng điểm, cập nhật kịp thời trên cơ sở tham vấn chuyên môn, qua đó chỉ tập trung vào </w:t>
            </w:r>
            <w:r w:rsidRPr="00AA4A03">
              <w:rPr>
                <w:rFonts w:ascii="Times New Roman" w:eastAsia="Times New Roman" w:hAnsi="Times New Roman" w:cs="Times New Roman"/>
                <w:color w:val="000000"/>
                <w:kern w:val="0"/>
                <w:sz w:val="26"/>
                <w:szCs w:val="26"/>
                <w:lang w:val="vi-VN"/>
                <w14:ligatures w14:val="none"/>
              </w:rPr>
              <w:lastRenderedPageBreak/>
              <w:t>những hệ thống có nguy cơ gây hậu quả lớn đối với quyền con người, sức khỏe, tài chính, an toàn xã hội và không tạo gánh nặng tuân thủ không cần thiết cho doanh nghiệp.</w:t>
            </w:r>
          </w:p>
        </w:tc>
      </w:tr>
      <w:tr w:rsidR="00B30308" w:rsidRPr="00EE706C" w14:paraId="4402C514" w14:textId="77777777" w:rsidTr="00AA4A03">
        <w:trPr>
          <w:trHeight w:val="2016"/>
        </w:trPr>
        <w:tc>
          <w:tcPr>
            <w:tcW w:w="708" w:type="dxa"/>
            <w:tcBorders>
              <w:top w:val="nil"/>
              <w:left w:val="single" w:sz="4" w:space="0" w:color="auto"/>
              <w:bottom w:val="single" w:sz="4" w:space="0" w:color="auto"/>
              <w:right w:val="single" w:sz="4" w:space="0" w:color="auto"/>
            </w:tcBorders>
            <w:hideMark/>
          </w:tcPr>
          <w:p w14:paraId="06B36CE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85</w:t>
            </w:r>
          </w:p>
        </w:tc>
        <w:tc>
          <w:tcPr>
            <w:tcW w:w="2548" w:type="dxa"/>
            <w:tcBorders>
              <w:top w:val="nil"/>
              <w:left w:val="nil"/>
              <w:bottom w:val="single" w:sz="4" w:space="0" w:color="auto"/>
              <w:right w:val="single" w:sz="4" w:space="0" w:color="auto"/>
            </w:tcBorders>
            <w:hideMark/>
          </w:tcPr>
          <w:p w14:paraId="2C66978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76D061F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thiết lập cơ chế cập nhật linh hoạt cho danh mục AI rủi ro cao.</w:t>
            </w:r>
            <w:r w:rsidRPr="00AA4A03">
              <w:rPr>
                <w:rFonts w:ascii="Times New Roman" w:eastAsia="Times New Roman" w:hAnsi="Times New Roman" w:cs="Times New Roman"/>
                <w:color w:val="000000"/>
                <w:kern w:val="0"/>
                <w:sz w:val="26"/>
                <w:szCs w:val="26"/>
                <w:lang w:val="vi-VN"/>
                <w14:ligatures w14:val="none"/>
              </w:rPr>
              <w:br/>
              <w:t>Đề xuất, kiến nghị: Thiết lập cơ chế cập nhật linh hoạt danh mục này trên cơ sở tham vấn chuyên gia, hiệp hội ngành hàng và tổ chức nghiên cứu.</w:t>
            </w:r>
          </w:p>
        </w:tc>
        <w:tc>
          <w:tcPr>
            <w:tcW w:w="7087" w:type="dxa"/>
            <w:tcBorders>
              <w:top w:val="nil"/>
              <w:left w:val="nil"/>
              <w:bottom w:val="single" w:sz="4" w:space="0" w:color="auto"/>
              <w:right w:val="single" w:sz="4" w:space="0" w:color="auto"/>
            </w:tcBorders>
            <w:hideMark/>
          </w:tcPr>
          <w:p w14:paraId="334C5DD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Ban soạn thảo thống nhất với yêu cầu cần có cơ chế cập nhật Danh mục AI rủi ro cao một cách linh hoạt, phù hợp với tốc độ thay đổi của công nghệ. Dự thảo Luật đã bảo đảm nguyên tắc này bằng cách giao Thủ tướng Chính phủ ban hành Danh mục hệ thống trí tuệ nhân tạo có rủi ro cao (khoản 6 Điều 12), thay vì quy định cứng trong Luật. Cơ chế này cho phép cơ quan quản lý điều chỉnh Danh mục kịp thời, thường xuyên rà soát và tham vấn chuyên gia, hiệp hội ngành hàng, tổ chức nghiên cứu trong quá trình ban hành và cập nhật văn bản dưới luật. Quy định này cũng phù hợp với nguyên tắc xây dựng luật khung, linh hoạt đối với lĩnh vực công nghệ mới.</w:t>
            </w:r>
          </w:p>
        </w:tc>
      </w:tr>
      <w:tr w:rsidR="00B30308" w:rsidRPr="00EE706C" w14:paraId="107F77B1" w14:textId="77777777" w:rsidTr="00B56CCF">
        <w:trPr>
          <w:trHeight w:val="1682"/>
        </w:trPr>
        <w:tc>
          <w:tcPr>
            <w:tcW w:w="708" w:type="dxa"/>
            <w:tcBorders>
              <w:top w:val="nil"/>
              <w:left w:val="single" w:sz="4" w:space="0" w:color="auto"/>
              <w:bottom w:val="single" w:sz="4" w:space="0" w:color="auto"/>
              <w:right w:val="single" w:sz="4" w:space="0" w:color="auto"/>
            </w:tcBorders>
            <w:hideMark/>
          </w:tcPr>
          <w:p w14:paraId="394F5BF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86</w:t>
            </w:r>
          </w:p>
        </w:tc>
        <w:tc>
          <w:tcPr>
            <w:tcW w:w="2548" w:type="dxa"/>
            <w:tcBorders>
              <w:top w:val="nil"/>
              <w:left w:val="nil"/>
              <w:bottom w:val="single" w:sz="4" w:space="0" w:color="auto"/>
              <w:right w:val="single" w:sz="4" w:space="0" w:color="auto"/>
            </w:tcBorders>
            <w:hideMark/>
          </w:tcPr>
          <w:p w14:paraId="348717E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3DAD9DB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gắn tiêu chí rủi ro vào các đặc tính kỹ thuật của mô hình.</w:t>
            </w:r>
            <w:r w:rsidRPr="00AA4A03">
              <w:rPr>
                <w:rFonts w:ascii="Times New Roman" w:eastAsia="Times New Roman" w:hAnsi="Times New Roman" w:cs="Times New Roman"/>
                <w:color w:val="000000"/>
                <w:kern w:val="0"/>
                <w:sz w:val="26"/>
                <w:szCs w:val="26"/>
                <w:lang w:val="vi-VN"/>
                <w14:ligatures w14:val="none"/>
              </w:rPr>
              <w:br/>
              <w:t>Đề xuất, kiến nghị: Gắn tiêu chí rủi ro vào các đặc tính kỹ thuật của mô hình như tính tự động, khả năng tự học, tính không dự đoán được và quy mô sử dụng.</w:t>
            </w:r>
          </w:p>
        </w:tc>
        <w:tc>
          <w:tcPr>
            <w:tcW w:w="7087" w:type="dxa"/>
            <w:tcBorders>
              <w:top w:val="nil"/>
              <w:left w:val="nil"/>
              <w:bottom w:val="single" w:sz="4" w:space="0" w:color="auto"/>
              <w:right w:val="single" w:sz="4" w:space="0" w:color="auto"/>
            </w:tcBorders>
            <w:hideMark/>
          </w:tcPr>
          <w:p w14:paraId="48892FC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Giải trình ý kiến của Đại biểu Quốc hội. Ban soạn thảo đồng thuận với yêu cầu xem xét các đặc tính kỹ thuật như tính tự động, khả năng tự học, tính khó dự đoán và quy mô ứng dụng khi đánh giá rủi ro. Tuy nhiên, theo thông lệ quốc tế và cách tiếp cận của Dự thảo Luật, tiêu chí rủi ro không gắn vào bản thân mô hình, mà gắn vào mức độ tác động của hệ thống AI khi được triển khai trong ngữ cảnh sử dụng cụ thể (Điều 8). Cách tiếp cận này cho phép đánh giá rủi ro chính xác hơn, vì cùng một mô hình có thể an toàn trong bối cảnh này nhưng rủi ro cao trong bối cảnh khác (ví dụ: mô hình tự học dùng cho giải trí khác hoàn toàn với khi dùng trong y tế hoặc tư pháp). Các đặc tính kỹ thuật mà Đại biểu nêu đã được phản ánh thông qua nghĩa vụ quản lý rủi ro, đánh giá an toàn, kiểm soát đầu </w:t>
            </w:r>
            <w:r w:rsidRPr="00AA4A03">
              <w:rPr>
                <w:rFonts w:ascii="Times New Roman" w:eastAsia="Times New Roman" w:hAnsi="Times New Roman" w:cs="Times New Roman"/>
                <w:color w:val="000000"/>
                <w:kern w:val="0"/>
                <w:sz w:val="26"/>
                <w:szCs w:val="26"/>
                <w:lang w:val="vi-VN"/>
                <w14:ligatures w14:val="none"/>
              </w:rPr>
              <w:lastRenderedPageBreak/>
              <w:t>ra và bảo đảm khả năng can thiệp của con người tại Điều 13 đối với hệ thống AI rủi ro cao; đồng thời được hỗ trợ bởi nghĩa vụ minh bạch tại Điều 10 và nghĩa vụ xử lý sự cố tại Điều 11. Do vậy, Dự thảo đã bao quát đầy đủ đề xuất của Đại biểu và không cần bổ sung tiêu chí phân loại theo mô hình.</w:t>
            </w:r>
          </w:p>
        </w:tc>
      </w:tr>
      <w:tr w:rsidR="00B30308" w:rsidRPr="00EE706C" w14:paraId="7B744FDE" w14:textId="77777777" w:rsidTr="00AA4A03">
        <w:trPr>
          <w:trHeight w:val="2304"/>
        </w:trPr>
        <w:tc>
          <w:tcPr>
            <w:tcW w:w="708" w:type="dxa"/>
            <w:tcBorders>
              <w:top w:val="nil"/>
              <w:left w:val="single" w:sz="4" w:space="0" w:color="auto"/>
              <w:bottom w:val="single" w:sz="4" w:space="0" w:color="auto"/>
              <w:right w:val="single" w:sz="4" w:space="0" w:color="auto"/>
            </w:tcBorders>
            <w:hideMark/>
          </w:tcPr>
          <w:p w14:paraId="051F8C28"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87</w:t>
            </w:r>
          </w:p>
        </w:tc>
        <w:tc>
          <w:tcPr>
            <w:tcW w:w="2548" w:type="dxa"/>
            <w:tcBorders>
              <w:top w:val="nil"/>
              <w:left w:val="nil"/>
              <w:bottom w:val="single" w:sz="4" w:space="0" w:color="auto"/>
              <w:right w:val="single" w:sz="4" w:space="0" w:color="auto"/>
            </w:tcBorders>
            <w:hideMark/>
          </w:tcPr>
          <w:p w14:paraId="26509F9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6391C54A"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phân định rạch ròi trách nhiệm của các chủ thể (nhà phát triển, nhà cung cấp, bên triển khai) trong chuỗi giá trị AI để làm cơ sở xử lý sự cố, bồi thường.</w:t>
            </w:r>
          </w:p>
          <w:p w14:paraId="7E083601" w14:textId="32403082"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Kiến nghị làm rõ: Nhà phát triển là chủ thể tạo ra mô hình và thuật toán; Nhà cung cấp là bên thương mại hóa hoặc tích hợp mô hình; Bên triển khai là bên đưa mô hình vào môi trường thực tế. "Việc không xác định rõ trách nhiệm của từng bên sẽ gây khó khăn khi xử lý sự cố, bồi thường thiệt hại hoặc giải quyết khiếu nại của người dân.".</w:t>
            </w:r>
          </w:p>
        </w:tc>
        <w:tc>
          <w:tcPr>
            <w:tcW w:w="7087" w:type="dxa"/>
            <w:tcBorders>
              <w:top w:val="nil"/>
              <w:left w:val="nil"/>
              <w:bottom w:val="single" w:sz="4" w:space="0" w:color="auto"/>
              <w:right w:val="single" w:sz="4" w:space="0" w:color="auto"/>
            </w:tcBorders>
            <w:hideMark/>
          </w:tcPr>
          <w:p w14:paraId="1C0CBAC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giải trình ý kiến của Đại biểu Quốc hội như sau: Ý kiến về việc cần phân định rõ trách nhiệm của các chủ thể trong chuỗi giá trị AI là xác đáng và đã được Ban soạn thảo nghiên cứu, tiếp thu, thể hiện đầy đủ trong Dự thảo Luật. Điều 3 (Giải thích từ ngữ) đã phân định rõ ràng vai trò, chức năng của các chủ thể: Nhà phát triển (kiểm soát phương pháp kỹ thuật, dữ liệu huấn luyện), Nhà cung cấp (đưa hệ thống AI ra lưu hành, phân phối), Bên triển khai (ứng dụng, vận hành, khai thác trong môi trường thực tế) và Người sử dụng. Sự phân định này là cơ sở pháp lý cho các quy định về trách nhiệm bồi thường thiệt hại (Điều 28) và xử lý sự cố (Điều 11), bảo đảm tính mạch lạc, có căn cứ rõ ràng khi giải quyết tranh chấp và phù hợp với nguyên tắc quy trách nhiệm rõ ràng khi hệ thống AI gây thiệt hại.</w:t>
            </w:r>
          </w:p>
        </w:tc>
      </w:tr>
      <w:tr w:rsidR="00B30308" w:rsidRPr="00EE706C" w14:paraId="388D6B65"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3828EABD"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88</w:t>
            </w:r>
          </w:p>
        </w:tc>
        <w:tc>
          <w:tcPr>
            <w:tcW w:w="2548" w:type="dxa"/>
            <w:tcBorders>
              <w:top w:val="nil"/>
              <w:left w:val="nil"/>
              <w:bottom w:val="single" w:sz="4" w:space="0" w:color="auto"/>
              <w:right w:val="single" w:sz="4" w:space="0" w:color="auto"/>
            </w:tcBorders>
            <w:hideMark/>
          </w:tcPr>
          <w:p w14:paraId="14C22E8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787EB62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Quy định về dữ liệu chưa đồng bộ với Dự thảo Luật Bảo vệ dữ liệu cá nhân; cần làm rõ mức độ xử lý cho phép đối với dữ liệu nhạy cảm.</w:t>
            </w:r>
            <w:r w:rsidRPr="00AA4A03">
              <w:rPr>
                <w:rFonts w:ascii="Times New Roman" w:eastAsia="Times New Roman" w:hAnsi="Times New Roman" w:cs="Times New Roman"/>
                <w:color w:val="000000"/>
                <w:kern w:val="0"/>
                <w:sz w:val="26"/>
                <w:szCs w:val="26"/>
                <w:lang w:val="vi-VN"/>
                <w14:ligatures w14:val="none"/>
              </w:rPr>
              <w:br/>
              <w:t>Đề xuất, kiến nghị: Cần làm rõ mức độ xử lý cho phép đối với dữ liệu nhạy cảm, dữ liệu trẻ em và dữ liệu sinh trắc học, đồng thời cần bổ sung nghĩa vụ đánh giá tác động dữ liệu khi triển khai AI rủi ro cao.</w:t>
            </w:r>
          </w:p>
        </w:tc>
        <w:tc>
          <w:tcPr>
            <w:tcW w:w="7087" w:type="dxa"/>
            <w:tcBorders>
              <w:top w:val="nil"/>
              <w:left w:val="nil"/>
              <w:bottom w:val="single" w:sz="4" w:space="0" w:color="auto"/>
              <w:right w:val="single" w:sz="4" w:space="0" w:color="auto"/>
            </w:tcBorders>
            <w:hideMark/>
          </w:tcPr>
          <w:p w14:paraId="301F8F6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thống nhất với ý kiến của Đại biểu về yêu cầu bảo đảm tính đồng bộ giữa Dự thảo Luật AI và Dự thảo Luật Bảo vệ dữ liệu cá nhân, đặc biệt đối với dữ liệu nhạy cảm, dữ liệu trẻ em và dữ liệu sinh trắc học. Các nội dung này đã được quy định thống nhất trong Luật Dữ liệu (Luật số 60/2024/QH15), theo đó mọi hoạt động thu thập và xử lý dữ liệu này phải có căn cứ pháp lý, mục đích rõ ràng, biện pháp bảo vệ tương ứng với mức độ rủi ro và được kiểm soát chặt chẽ. Dự thảo Luật AI tiếp thu bằng cách quy định tại khoản 1 Điều 16: dữ liệu sử dụng cho phát triển và vận hành AI phải hợp pháp, an toàn và tuân thủ pháp luật về dữ liệu, bao gồm toàn bộ yêu cầu xử lý dữ liệu nhạy cảm. Đối với đề nghị bổ sung nghĩa vụ đánh giá tác động dữ liệu, Ban soạn thảo nhận thấy nội dung này đã được Luật Dữ liệu quy định là nghĩa vụ bắt buộc đối với tổ chức, cá nhân xử lý dữ liệu nhạy cảm; Luật AI không lặp lại để tránh mâu thuẫn, nhưng vẫn dẫn chiếu đầy đủ tại Điều 16. Các yêu cầu kỹ thuật và phương pháp đánh giá tác động dữ liệu sẽ được Chính phủ quy định chi tiết theo khoản 6 Điều 16.</w:t>
            </w:r>
          </w:p>
        </w:tc>
      </w:tr>
      <w:tr w:rsidR="00B30308" w:rsidRPr="00EE706C" w14:paraId="02100790"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245DE2F3"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89</w:t>
            </w:r>
          </w:p>
        </w:tc>
        <w:tc>
          <w:tcPr>
            <w:tcW w:w="2548" w:type="dxa"/>
            <w:tcBorders>
              <w:top w:val="nil"/>
              <w:left w:val="nil"/>
              <w:bottom w:val="single" w:sz="4" w:space="0" w:color="auto"/>
              <w:right w:val="single" w:sz="4" w:space="0" w:color="auto"/>
            </w:tcBorders>
            <w:hideMark/>
          </w:tcPr>
          <w:p w14:paraId="40D8554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464C45D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Dự thảo còn thiếu các quyền quan trọng của người dùng theo chuẩn quốc tế, như quyền từ chối quyết định hoàn toàn tự động hoặc quyền yêu cầu giải thích.</w:t>
            </w:r>
            <w:r w:rsidRPr="00AA4A03">
              <w:rPr>
                <w:rFonts w:ascii="Times New Roman" w:eastAsia="Times New Roman" w:hAnsi="Times New Roman" w:cs="Times New Roman"/>
                <w:color w:val="000000"/>
                <w:kern w:val="0"/>
                <w:sz w:val="26"/>
                <w:szCs w:val="26"/>
                <w:lang w:val="vi-VN"/>
                <w14:ligatures w14:val="none"/>
              </w:rPr>
              <w:br/>
              <w:t>Đề xuất, kiến nghị: Bổ sung các quyền cơ bản theo chuẩn quốc tế để giúp người dân không bị tổn thương bởi các quyết định dựa trên AI trong lĩnh vực tài chính, bảo hiểm, y tế hoặc tuyển dụng lao động.</w:t>
            </w:r>
          </w:p>
        </w:tc>
        <w:tc>
          <w:tcPr>
            <w:tcW w:w="7087" w:type="dxa"/>
            <w:tcBorders>
              <w:top w:val="nil"/>
              <w:left w:val="nil"/>
              <w:bottom w:val="single" w:sz="4" w:space="0" w:color="auto"/>
              <w:right w:val="single" w:sz="4" w:space="0" w:color="auto"/>
            </w:tcBorders>
            <w:hideMark/>
          </w:tcPr>
          <w:p w14:paraId="771FC95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Dự thảo Luật AI tiếp cận theo hướng quy định nghĩa vụ của Nhà cung cấp, Nhà triển khai và cơ quan nhà nước, thay vì liệt kê trực tiếp các quyền cụ thể của người dùng, nhằm bảo đảm tính ổn định của luật và phù hợp với kỹ thuật lập pháp. Các quyền được ĐBQH nêu như “quyền từ chối quyết định tự động” hay “quyền yêu cầu giải thích” đã được bảo đảm thông qua các cơ chế nghĩa vụ tương ứng: nghĩa vụ minh bạch tại Điều 10, nghĩa vụ cung cấp thông tin và trách nhiệm giải trình đối với hệ thống AI rủi ro cao tại Điều 13, và quyền được giải trình, khiếu nại khi quyết định hành chính có sự hỗ trợ của AI tại Điều 26. Đồng thời, Điều 4 yêu cầu duy trì khả năng kiểm soát của con người, bảo đảm con người là chủ thể quyết định cuối cùng, và Điều 28 quy định trách nhiệm bồi thường nếu quyết định dựa trên AI gây thiệt hại. Như vậy, các quyền cơ bản của người dùng được bảo vệ đầy đủ mà không cần bổ sung thêm điều khoản riêng, bảo đảm tính linh hoạt và tương thích với hệ thống pháp luật hiện hành.</w:t>
            </w:r>
          </w:p>
        </w:tc>
      </w:tr>
      <w:tr w:rsidR="00B30308" w:rsidRPr="00EE706C" w14:paraId="65ABFE84"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3BFEDAB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90</w:t>
            </w:r>
          </w:p>
        </w:tc>
        <w:tc>
          <w:tcPr>
            <w:tcW w:w="2548" w:type="dxa"/>
            <w:tcBorders>
              <w:top w:val="nil"/>
              <w:left w:val="nil"/>
              <w:bottom w:val="single" w:sz="4" w:space="0" w:color="auto"/>
              <w:right w:val="single" w:sz="4" w:space="0" w:color="auto"/>
            </w:tcBorders>
            <w:hideMark/>
          </w:tcPr>
          <w:p w14:paraId="3B1A135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6CE34D8A"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Quy định gắn nhãn Deepfake (Điều 10) cần làm rõ nội dung nào bắt buộc phải gắn nhãn, mức độ gắn nhãn và trách nhiệm của nền tảng mạng xã hội.</w:t>
            </w:r>
          </w:p>
          <w:p w14:paraId="72651EE3" w14:textId="494811E5"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Đề xuất, kiến nghị: Làm rõ những nội dung nào bắt buộc phải gắn nhãn, mức độ gắn nhãn như thế nào để vừa bảo vệ người dùng vừa không làm giảm trải nghiệm số, và trách nhiệm của các nền tảng mạng xã hội. "Việc thiết kế cơ chế </w:t>
            </w:r>
            <w:r w:rsidRPr="00AA4A03">
              <w:rPr>
                <w:rFonts w:ascii="Times New Roman" w:eastAsia="Times New Roman" w:hAnsi="Times New Roman" w:cs="Times New Roman"/>
                <w:color w:val="000000"/>
                <w:kern w:val="0"/>
                <w:sz w:val="26"/>
                <w:szCs w:val="26"/>
                <w:lang w:val="vi-VN"/>
                <w14:ligatures w14:val="none"/>
              </w:rPr>
              <w:lastRenderedPageBreak/>
              <w:t>gắn nhãn chặt chẽ nhưng linh hoạt là yếu tố hết sức cần thiết.".</w:t>
            </w:r>
          </w:p>
        </w:tc>
        <w:tc>
          <w:tcPr>
            <w:tcW w:w="7087" w:type="dxa"/>
            <w:tcBorders>
              <w:top w:val="nil"/>
              <w:left w:val="nil"/>
              <w:bottom w:val="single" w:sz="4" w:space="0" w:color="auto"/>
              <w:right w:val="single" w:sz="4" w:space="0" w:color="auto"/>
            </w:tcBorders>
            <w:hideMark/>
          </w:tcPr>
          <w:p w14:paraId="2C5ED75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Ban soạn thảo xin báo cáo như sau: Ban soạn thảo thống nhất với Đại biểu về sự cần thiết phải gắn nhãn đối với nội dung deepfake để bảo vệ người dùng và tăng tính minh bạch. Điều 10 của Dự thảo Luật đã quy định nghĩa vụ gắn nhãn và đánh dấu dạng máy đọc đối với nội dung do AI tạo hoặc chỉnh sửa, bao gồm cả hình ảnh, giọng nói và video mô phỏng người thật. Tuy nhiên, các nội dung mà Đại biểu đề xuất—như mức độ gắn nhãn, cách thức hiển thị, tiêu chí xác định nội dung bắt buộc gắn nhãn và trách nhiệm kỹ thuật của các nền tảng mạng xã hội—là biện pháp kỹ thuật phụ thuộc từng loại hình nội dung, giao diện, quy mô nền tảng và khả năng công nghệ, nên không thể quy định chi tiết trong Luật mà phải được quy </w:t>
            </w:r>
            <w:r w:rsidRPr="00AA4A03">
              <w:rPr>
                <w:rFonts w:ascii="Times New Roman" w:eastAsia="Times New Roman" w:hAnsi="Times New Roman" w:cs="Times New Roman"/>
                <w:color w:val="000000"/>
                <w:kern w:val="0"/>
                <w:sz w:val="26"/>
                <w:szCs w:val="26"/>
                <w:lang w:val="vi-VN"/>
                <w14:ligatures w14:val="none"/>
              </w:rPr>
              <w:lastRenderedPageBreak/>
              <w:t>định linh hoạt tại Nghị định và tiêu chuẩn kỹ thuật quốc gia. Việc giao Chính phủ quy định chi tiết bảo đảm vừa kiểm soát được deepfake, vừa tránh làm giảm trải nghiệm số và không tạo gánh nặng không cần thiết cho doanh nghiệp. Do đó, nội dung đề xuất đã được bao quát tại Điều 10 và sẽ được hướng dẫn chi tiết trong văn bản dưới luật.</w:t>
            </w:r>
          </w:p>
        </w:tc>
      </w:tr>
      <w:tr w:rsidR="00B30308" w:rsidRPr="00EE706C" w14:paraId="5CF5F4F0"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124FF44F"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91</w:t>
            </w:r>
          </w:p>
        </w:tc>
        <w:tc>
          <w:tcPr>
            <w:tcW w:w="2548" w:type="dxa"/>
            <w:tcBorders>
              <w:top w:val="nil"/>
              <w:left w:val="nil"/>
              <w:bottom w:val="single" w:sz="4" w:space="0" w:color="auto"/>
              <w:right w:val="single" w:sz="4" w:space="0" w:color="auto"/>
            </w:tcBorders>
            <w:hideMark/>
          </w:tcPr>
          <w:p w14:paraId="205C32D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0C167E0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Cơ chế tiền kiểm (chứng nhận) quá nặng đối với đánh giá sự phù hợp có thể cản trở đổi mới sáng tạo.</w:t>
            </w:r>
            <w:r w:rsidRPr="00AA4A03">
              <w:rPr>
                <w:rFonts w:ascii="Times New Roman" w:eastAsia="Times New Roman" w:hAnsi="Times New Roman" w:cs="Times New Roman"/>
                <w:color w:val="000000"/>
                <w:kern w:val="0"/>
                <w:sz w:val="26"/>
                <w:szCs w:val="26"/>
                <w:lang w:val="vi-VN"/>
                <w14:ligatures w14:val="none"/>
              </w:rPr>
              <w:br/>
              <w:t>Đề xuất, kiến nghị: Đề nghị chỉ yêu cầu chứng nhận đối với hệ thống rủi ro cao, cho phép tự đánh giá đối với các hệ thống rủi ro thấp và trung bình, đảm bảo quy trình rõ ràng, minh bạch, tránh phát sinh cơ chế xin - cho.</w:t>
            </w:r>
          </w:p>
        </w:tc>
        <w:tc>
          <w:tcPr>
            <w:tcW w:w="7087" w:type="dxa"/>
            <w:tcBorders>
              <w:top w:val="nil"/>
              <w:left w:val="nil"/>
              <w:bottom w:val="single" w:sz="4" w:space="0" w:color="auto"/>
              <w:right w:val="single" w:sz="4" w:space="0" w:color="auto"/>
            </w:tcBorders>
            <w:hideMark/>
          </w:tcPr>
          <w:p w14:paraId="55ECAC6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Dự thảo Luật đã thiết kế cơ chế quản lý cân bằng, hài hòa giữa tiền kiểm và hậu kiểm theo đúng tinh thần ý kiến Đại biểu: 1. Chỉ AI rủi ro cao mới phải thực hiện Đánh giá sự phù hợp (Điều 12 khoản 1). Hệ thống rủi ro trung bình và thấp không bắt buộc, chỉ cần tuân thủ nghĩa vụ minh bạch và giải trình khi có yêu cầu (Điều 14). 2. Đối với AI rủi ro cao, Luật cung cấp hai hình thức đánh giá (Điều 12 khoản 3): a) Chứng nhận sự phù hợp (tiền kiểm chặt chẽ, áp dụng cho nhóm nguy hiểm nhất) và b) Giám sát sự phù hợp (hậu kiểm, do nhà cung cấp tự đánh giá và chịu trách nhiệm). Danh mục cụ thể phân định giữa hai hình thức này được giao Thủ tướng Chính phủ quy định (Điều 12 khoản 6). Cách tiếp cận này nhằm áp dụng Tiền kiểm tối thiểu (chỉ cho nhóm rủi ro cao có nguy cơ nguy hại lớn) và khuyến khích tự nguyện tuân thủ, giảm cơ chế xin - cho, tạo điều kiện cho đổi mới sáng tạo.</w:t>
            </w:r>
          </w:p>
        </w:tc>
      </w:tr>
      <w:tr w:rsidR="00B30308" w:rsidRPr="00EE706C" w14:paraId="421A6EDE" w14:textId="77777777" w:rsidTr="00AA4A03">
        <w:trPr>
          <w:trHeight w:val="2016"/>
        </w:trPr>
        <w:tc>
          <w:tcPr>
            <w:tcW w:w="708" w:type="dxa"/>
            <w:tcBorders>
              <w:top w:val="nil"/>
              <w:left w:val="single" w:sz="4" w:space="0" w:color="auto"/>
              <w:bottom w:val="single" w:sz="4" w:space="0" w:color="auto"/>
              <w:right w:val="single" w:sz="4" w:space="0" w:color="auto"/>
            </w:tcBorders>
            <w:hideMark/>
          </w:tcPr>
          <w:p w14:paraId="62C28416"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92</w:t>
            </w:r>
          </w:p>
        </w:tc>
        <w:tc>
          <w:tcPr>
            <w:tcW w:w="2548" w:type="dxa"/>
            <w:tcBorders>
              <w:top w:val="nil"/>
              <w:left w:val="nil"/>
              <w:bottom w:val="single" w:sz="4" w:space="0" w:color="auto"/>
              <w:right w:val="single" w:sz="4" w:space="0" w:color="auto"/>
            </w:tcBorders>
            <w:hideMark/>
          </w:tcPr>
          <w:p w14:paraId="5B52253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796ABE6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Cơ chế thử nghiệm có kiểm soát (Sandbox) cần được thiết kế rõ ràng và cụ thể hơn.</w:t>
            </w:r>
            <w:r w:rsidRPr="00AA4A03">
              <w:rPr>
                <w:rFonts w:ascii="Times New Roman" w:eastAsia="Times New Roman" w:hAnsi="Times New Roman" w:cs="Times New Roman"/>
                <w:color w:val="000000"/>
                <w:kern w:val="0"/>
                <w:sz w:val="26"/>
                <w:szCs w:val="26"/>
                <w:lang w:val="vi-VN"/>
                <w14:ligatures w14:val="none"/>
              </w:rPr>
              <w:br/>
              <w:t>Đề xuất, kiến nghị: Ưu tiên triển khai Sandbox trong các lĩnh vực y tế, giáo dục, tài chính và hành chính công với thời hạn thử nghiệm, tiêu chí lựa chọn doanh nghiệp và cơ chế giám sát minh bạch. "cơ chế sandbox cần được thiết kế rõ ràng hơn, ưu tiên triển khai trong các lĩnh vực y tế, giáo dục, tài chính và hành chính công...".</w:t>
            </w:r>
          </w:p>
        </w:tc>
        <w:tc>
          <w:tcPr>
            <w:tcW w:w="7087" w:type="dxa"/>
            <w:tcBorders>
              <w:top w:val="nil"/>
              <w:left w:val="nil"/>
              <w:bottom w:val="single" w:sz="4" w:space="0" w:color="auto"/>
              <w:right w:val="single" w:sz="4" w:space="0" w:color="auto"/>
            </w:tcBorders>
            <w:hideMark/>
          </w:tcPr>
          <w:p w14:paraId="0F16F57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Dự thảo Luật đã thể hiện định hướng ưu tiên các lĩnh vực trọng điểm như hành chính công, y tế, giáo dục, giao thông tại Điều 5 và định hướng Chiến lược quốc gia về AI (Điều 18). Về tính rõ ràng và cụ thể, khoản 6 Điều 20 đã giao Chính phủ quy định chi tiết tiêu chí lựa chọn đối tượng thử nghiệm, thời hạn thử nghiệm, cơ chế giám sát và thẩm quyền phê duyệt. Chính phủ sẽ dựa trên định hướng ưu tiên và quản lý rủi ro để cụ thể hóa các tiêu chí này, đảm bảo tính minh bạch và trọng tâm khi triển khai Cơ chế thử nghiệm có kiểm soát.</w:t>
            </w:r>
          </w:p>
        </w:tc>
      </w:tr>
      <w:tr w:rsidR="00B30308" w:rsidRPr="00EE706C" w14:paraId="1C2FBA1A" w14:textId="77777777" w:rsidTr="00B56CCF">
        <w:trPr>
          <w:trHeight w:val="1540"/>
        </w:trPr>
        <w:tc>
          <w:tcPr>
            <w:tcW w:w="708" w:type="dxa"/>
            <w:tcBorders>
              <w:top w:val="nil"/>
              <w:left w:val="single" w:sz="4" w:space="0" w:color="auto"/>
              <w:bottom w:val="single" w:sz="4" w:space="0" w:color="auto"/>
              <w:right w:val="single" w:sz="4" w:space="0" w:color="auto"/>
            </w:tcBorders>
            <w:hideMark/>
          </w:tcPr>
          <w:p w14:paraId="0B1C05B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93</w:t>
            </w:r>
          </w:p>
        </w:tc>
        <w:tc>
          <w:tcPr>
            <w:tcW w:w="2548" w:type="dxa"/>
            <w:tcBorders>
              <w:top w:val="nil"/>
              <w:left w:val="nil"/>
              <w:bottom w:val="single" w:sz="4" w:space="0" w:color="auto"/>
              <w:right w:val="single" w:sz="4" w:space="0" w:color="auto"/>
            </w:tcBorders>
            <w:hideMark/>
          </w:tcPr>
          <w:p w14:paraId="4D148A8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28146F8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có chính sách hỗ trợ doanh nghiệp nhỏ và startup tiếp cận hạ tầng tính toán quốc gia.</w:t>
            </w:r>
            <w:r w:rsidRPr="00AA4A03">
              <w:rPr>
                <w:rFonts w:ascii="Times New Roman" w:eastAsia="Times New Roman" w:hAnsi="Times New Roman" w:cs="Times New Roman"/>
                <w:color w:val="000000"/>
                <w:kern w:val="0"/>
                <w:sz w:val="26"/>
                <w:szCs w:val="26"/>
                <w:lang w:val="vi-VN"/>
                <w14:ligatures w14:val="none"/>
              </w:rPr>
              <w:br/>
              <w:t>Đề xuất, kiến nghị: Hỗ trợ doanh nghiệp nhỏ và startup tiếp cận hạ tầng tính toán quốc gia, đặc biệt là bộ xử lý đồ họa và siêu máy tính thông qua cơ chế trợ giá, phiếu hỗ trợ hoặc hạn mức miễn phí.</w:t>
            </w:r>
          </w:p>
        </w:tc>
        <w:tc>
          <w:tcPr>
            <w:tcW w:w="7087" w:type="dxa"/>
            <w:tcBorders>
              <w:top w:val="nil"/>
              <w:left w:val="nil"/>
              <w:bottom w:val="single" w:sz="4" w:space="0" w:color="auto"/>
              <w:right w:val="single" w:sz="4" w:space="0" w:color="auto"/>
            </w:tcBorders>
            <w:hideMark/>
          </w:tcPr>
          <w:p w14:paraId="3308921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Cơ quan chủ trì soạn thảo xin trả lời ý kiến như sau: Ý kiến của Đại biểu Quốc hội là xác đáng và đã được tiếp thu triệt để trong các điều khoản của Dự thảo Luật, nhằm tạo điều kiện tối đa cho doanh nghiệp khởi nghiệp và doanh nghiệp nhỏ và vừa (SME) tiếp cận hạ tầng tính toán và dữ liệu dùng chung, phù hợp với quan điểm thúc đẩy phát triển mạnh mẽ. Các quy định cụ thể bao gồm: 1. Chính sách ưu tiên tiếp cận: Tại khoản 5 Điều 19 quy định: "Doanh nghiệp nhỏ và vừa, doanh nghiệp khởi nghiệp đổi mới sáng tạo về trí tuệ nhân tạo được ưu tiên tiếp cận hạ tầng kỹ thuật, dữ liệu và môi trường thử nghiệm...". 2. Cơ chế hỗ trợ tài chính (Voucher/Phiếu hỗ trợ): Tại khoản 2 Điều 24 quy định các doanh nghiệp này "được hỗ trợ thông qua phiếu hỗ trợ để sử dụng hạ tầng tính toán, bộ dữ liệu dùng chung, mô hình ngôn ngữ lớn tiếng Việt, nền tảng huấn luyện, kiểm thử và dịch vụ tư vấn kỹ thuật". Cơ chế này nhằm giải quyết vấn đề trợ giá và chi phí tiếp cận siêu máy </w:t>
            </w:r>
            <w:r w:rsidRPr="00AA4A03">
              <w:rPr>
                <w:rFonts w:ascii="Times New Roman" w:eastAsia="Times New Roman" w:hAnsi="Times New Roman" w:cs="Times New Roman"/>
                <w:color w:val="000000"/>
                <w:kern w:val="0"/>
                <w:sz w:val="26"/>
                <w:szCs w:val="26"/>
                <w:lang w:val="vi-VN"/>
                <w14:ligatures w14:val="none"/>
              </w:rPr>
              <w:lastRenderedPageBreak/>
              <w:t>tính/GPU cho các startup. 3. Đầu tư Hạ tầng công: Tại khoản 3 Điều 15 quy định Nhà nước đầu tư, xây dựng và vận hành hạ tầng trí tuệ nhân tạo cung cấp như dịch vụ công, phục vụ nghiên cứu, phát triển, quản lý nhà nước và hỗ trợ doanh nghiệp khởi nghiệp, gồm: năng lực tính toán và dữ liệu dùng chung.</w:t>
            </w:r>
          </w:p>
        </w:tc>
      </w:tr>
      <w:tr w:rsidR="00B30308" w:rsidRPr="00EE706C" w14:paraId="52779523"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6E033CAD"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94</w:t>
            </w:r>
          </w:p>
        </w:tc>
        <w:tc>
          <w:tcPr>
            <w:tcW w:w="2548" w:type="dxa"/>
            <w:tcBorders>
              <w:top w:val="nil"/>
              <w:left w:val="nil"/>
              <w:bottom w:val="single" w:sz="4" w:space="0" w:color="auto"/>
              <w:right w:val="single" w:sz="4" w:space="0" w:color="auto"/>
            </w:tcBorders>
            <w:hideMark/>
          </w:tcPr>
          <w:p w14:paraId="0D3BB2C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66D7670D"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xây dựng kho dữ liệu mở quốc gia và cơ chế chia sẻ dữ liệu công bằng.</w:t>
            </w:r>
          </w:p>
          <w:p w14:paraId="46458455" w14:textId="382E64A2"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Xây dựng kho dữ liệu mở quốc gia, dữ liệu dùng chung và cơ chế chia sẻ dữ liệu công bằng theo tầng truy cập, đảm bảo vừa phục vụ nghiên cứu đổi mới, vừa tuân thủ nghiêm ngặt yêu cầu bảo mật và ẩn danh hóa.</w:t>
            </w:r>
          </w:p>
        </w:tc>
        <w:tc>
          <w:tcPr>
            <w:tcW w:w="7087" w:type="dxa"/>
            <w:tcBorders>
              <w:top w:val="nil"/>
              <w:left w:val="nil"/>
              <w:bottom w:val="single" w:sz="4" w:space="0" w:color="auto"/>
              <w:right w:val="single" w:sz="4" w:space="0" w:color="auto"/>
            </w:tcBorders>
            <w:hideMark/>
          </w:tcPr>
          <w:p w14:paraId="73F2922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Ban soạn thảo tiếp thu ý kiến về yêu cầu thúc đẩy dữ liệu mở và cơ chế chia sẻ công bằng. Thứ nhất, về dữ liệu mở và dùng chung, Điều 16 khoản 2 quy định Cơ sở dữ liệu quốc gia về trí tuệ nhân tạo được tổ chức mở, an toàn, có kiểm soát và bao gồm dữ liệu mở, dữ liệu mở có điều kiện và dữ liệu thương mại theo quy định của pháp luật. Thứ hai, về cơ chế chia sẻ, Điều 16 khoản 4 khuyến khích tổ chức, cá nhân chia sẻ dữ liệu phục vụ AI theo cơ chế thỏa thuận, tuân thủ pháp luật về dữ liệu và bảo vệ dữ liệu cá nhân. Thứ ba, về bảo mật và cơ chế truy cập, Điều 16 khoản 6 giao Chính phủ quy định chi tiết về nguyên tắc kết nối, cơ chế chia sẻ, khai thác và bảo đảm an toàn dữ liệu. Các quy định này tạo cơ sở pháp lý để Chính phủ xây dựng cơ chế chia sẻ dữ liệu công bằng theo tầng truy cập nhằm thúc đẩy nghiên cứu và đổi mới sáng tạo.</w:t>
            </w:r>
          </w:p>
        </w:tc>
      </w:tr>
      <w:tr w:rsidR="00B30308" w:rsidRPr="00EE706C" w14:paraId="4B4329B6"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50A14A56"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95</w:t>
            </w:r>
          </w:p>
        </w:tc>
        <w:tc>
          <w:tcPr>
            <w:tcW w:w="2548" w:type="dxa"/>
            <w:tcBorders>
              <w:top w:val="nil"/>
              <w:left w:val="nil"/>
              <w:bottom w:val="single" w:sz="4" w:space="0" w:color="auto"/>
              <w:right w:val="single" w:sz="4" w:space="0" w:color="auto"/>
            </w:tcBorders>
            <w:hideMark/>
          </w:tcPr>
          <w:p w14:paraId="56ADB14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60773AD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Cần có chính sách đặc thù để thu hút và giữ chân nhân tài AI.</w:t>
            </w:r>
            <w:r w:rsidRPr="00AA4A03">
              <w:rPr>
                <w:rFonts w:ascii="Times New Roman" w:eastAsia="Times New Roman" w:hAnsi="Times New Roman" w:cs="Times New Roman"/>
                <w:color w:val="000000"/>
                <w:kern w:val="0"/>
                <w:sz w:val="26"/>
                <w:szCs w:val="26"/>
                <w:lang w:val="vi-VN"/>
                <w14:ligatures w14:val="none"/>
              </w:rPr>
              <w:br/>
              <w:t>Đề xuất, kiến nghị: Cần có chính sách đặc thù để thu hút và giữ chân nhân tài AI từ đào tạo đại học, sau đại học đến thu hút chuyên gia quốc tế và hỗ trợ những nhóm nghiên cứu mạnh.</w:t>
            </w:r>
          </w:p>
        </w:tc>
        <w:tc>
          <w:tcPr>
            <w:tcW w:w="7087" w:type="dxa"/>
            <w:tcBorders>
              <w:top w:val="nil"/>
              <w:left w:val="nil"/>
              <w:bottom w:val="single" w:sz="4" w:space="0" w:color="auto"/>
              <w:right w:val="single" w:sz="4" w:space="0" w:color="auto"/>
            </w:tcBorders>
            <w:hideMark/>
          </w:tcPr>
          <w:p w14:paraId="16778CEB"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Điều 22 của Dự thảo Luật đã xác định rõ định hướng ưu tiên phát triển đội ngũ chuyên gia, kỹ sư AI chất lượng cao, thúc đẩy chương trình đào tạo chuyên sâu, hợp tác quốc tế và phát triển nhóm nghiên cứu mạnh. Các chính sách đặc thù về đãi ngộ, thu hút, trọng dụng chuyên gia đầu ngành trong và ngoài nước, bao gồm hỗ trợ tài chính, cơ chế đặt hàng nghiên cứu, tuyển dụng linh hoạt… thuộc phạm vi điều chỉnh của Luật Khoa học và công nghệ, Luật Giáo dục đại học, Luật Viên chức và theo thẩm quyền Chính phủ sẽ quy định chi tiết để bảo đảm phù hợp với điều kiện ngân sách và thực tiễn tuyển dụng.</w:t>
            </w:r>
          </w:p>
          <w:p w14:paraId="591A78CB" w14:textId="4D2EC63A"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Việc không đưa trực tiếp các chế độ đãi ngộ cụ thể vào Luật AI nhằm bảo đảm tính ổn định của đạo luật, nhưng khung pháp lý hiện hành đã đủ đầy để Chính phủ ban hành chính sách đặc thù thu hút nhân tài AI, nuôi dưỡng nhóm nghiên cứu mạnh và gắn kết với hệ sinh thái đổi mới sáng tạo như đề xuất của Đại biểu.</w:t>
            </w:r>
          </w:p>
        </w:tc>
      </w:tr>
      <w:tr w:rsidR="00B30308" w:rsidRPr="00EE706C" w14:paraId="2945F822" w14:textId="77777777" w:rsidTr="00AA4A03">
        <w:trPr>
          <w:trHeight w:val="1728"/>
        </w:trPr>
        <w:tc>
          <w:tcPr>
            <w:tcW w:w="708" w:type="dxa"/>
            <w:tcBorders>
              <w:top w:val="nil"/>
              <w:left w:val="single" w:sz="4" w:space="0" w:color="auto"/>
              <w:bottom w:val="single" w:sz="4" w:space="0" w:color="auto"/>
              <w:right w:val="single" w:sz="4" w:space="0" w:color="auto"/>
            </w:tcBorders>
            <w:hideMark/>
          </w:tcPr>
          <w:p w14:paraId="6AA406E7"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96</w:t>
            </w:r>
          </w:p>
        </w:tc>
        <w:tc>
          <w:tcPr>
            <w:tcW w:w="2548" w:type="dxa"/>
            <w:tcBorders>
              <w:top w:val="nil"/>
              <w:left w:val="nil"/>
              <w:bottom w:val="single" w:sz="4" w:space="0" w:color="auto"/>
              <w:right w:val="single" w:sz="4" w:space="0" w:color="auto"/>
            </w:tcBorders>
            <w:hideMark/>
          </w:tcPr>
          <w:p w14:paraId="31A9B95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Thạch Phước Bình - Vĩnh Long</w:t>
            </w:r>
          </w:p>
        </w:tc>
        <w:tc>
          <w:tcPr>
            <w:tcW w:w="4394" w:type="dxa"/>
            <w:tcBorders>
              <w:top w:val="nil"/>
              <w:left w:val="nil"/>
              <w:bottom w:val="single" w:sz="4" w:space="0" w:color="auto"/>
              <w:right w:val="single" w:sz="4" w:space="0" w:color="auto"/>
            </w:tcBorders>
            <w:hideMark/>
          </w:tcPr>
          <w:p w14:paraId="5737136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Lộ trình chuyển tiếp 12 tháng là quá ngắn và khó khả thi cho các hệ thống AI đang vận hành.</w:t>
            </w:r>
            <w:r w:rsidRPr="00AA4A03">
              <w:rPr>
                <w:rFonts w:ascii="Times New Roman" w:eastAsia="Times New Roman" w:hAnsi="Times New Roman" w:cs="Times New Roman"/>
                <w:color w:val="000000"/>
                <w:kern w:val="0"/>
                <w:sz w:val="26"/>
                <w:szCs w:val="26"/>
                <w:lang w:val="vi-VN"/>
                <w14:ligatures w14:val="none"/>
              </w:rPr>
              <w:br/>
              <w:t>Đề xuất, kiến nghị: Xem xét lộ trình theo 3 giai đoạn: Giai đoạn 1 (áp dụng ngay) với AI rủi ro cao; Giai đoạn 2 (18-24 tháng) với AI rủi ro trung bình; Giai đoạn 3 (36 tháng) áp dụng toàn diện. "Khoảng thời gian này theo tôi là quá ngắn và khó khả thi đối với cả doanh nghiệp nhà nước, tư nhân và startup.".</w:t>
            </w:r>
          </w:p>
        </w:tc>
        <w:tc>
          <w:tcPr>
            <w:tcW w:w="7087" w:type="dxa"/>
            <w:tcBorders>
              <w:top w:val="nil"/>
              <w:left w:val="nil"/>
              <w:bottom w:val="single" w:sz="4" w:space="0" w:color="auto"/>
              <w:right w:val="single" w:sz="4" w:space="0" w:color="auto"/>
            </w:tcBorders>
            <w:hideMark/>
          </w:tcPr>
          <w:p w14:paraId="76EFE1A7" w14:textId="3BBEA0D6"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Cơ quan chủ trì soạn thảo trân trọng tiếp thu ý kiến của Đại biểu về tính khả thi của lộ trình chuyển tiếp. Kinh nghiệm quốc tế cho thấy: Luật AI của Liên minh Châu Âu quy định thời gian chuyển tiếp tối thiểu 24 tháng đối với hệ thống AI có rủi ro cao, còn Luật AI của Hàn Quốc có hiệu lực sau 12 tháng kể từ khi ban hành. Dựa trên mức độ trưởng thành của hệ sinh thái AI tại Việt Nam và yêu cầu bảo đảm an toàn đối với các hệ thống đang vận hành, Dự thảo Luật lựa chọn lộ trình chuyển tiếp 12 tháng là phù hợp và tiệm cận chuẩn mực khu vực.</w:t>
            </w:r>
          </w:p>
        </w:tc>
      </w:tr>
      <w:tr w:rsidR="00B30308" w:rsidRPr="00EE706C" w14:paraId="353F5757"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7C4D0A56"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97</w:t>
            </w:r>
          </w:p>
        </w:tc>
        <w:tc>
          <w:tcPr>
            <w:tcW w:w="2548" w:type="dxa"/>
            <w:tcBorders>
              <w:top w:val="nil"/>
              <w:left w:val="nil"/>
              <w:bottom w:val="single" w:sz="4" w:space="0" w:color="auto"/>
              <w:right w:val="single" w:sz="4" w:space="0" w:color="auto"/>
            </w:tcBorders>
            <w:hideMark/>
          </w:tcPr>
          <w:p w14:paraId="32928B3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Khánh Thu - Hưng Yên</w:t>
            </w:r>
          </w:p>
        </w:tc>
        <w:tc>
          <w:tcPr>
            <w:tcW w:w="4394" w:type="dxa"/>
            <w:tcBorders>
              <w:top w:val="nil"/>
              <w:left w:val="nil"/>
              <w:bottom w:val="single" w:sz="4" w:space="0" w:color="auto"/>
              <w:right w:val="single" w:sz="4" w:space="0" w:color="auto"/>
            </w:tcBorders>
            <w:hideMark/>
          </w:tcPr>
          <w:p w14:paraId="219B464B"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Dự thảo luật đã tiếp thu, chỉnh lý khá rõ ràng, nhưng vẫn còn thiên về phần kỹ thuật và quản lý vận hành dữ liệu chung đối với một số ngành nghề tác động lớn chưa thực sự được rõ ràng.</w:t>
            </w:r>
          </w:p>
          <w:p w14:paraId="3AF38E21" w14:textId="742DF19F"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Cần làm rõ các quy định kỹ thuật và quản lý dữ liệu đối với các lĩnh vực có tác động lớn để tổ chức, cá nhân khi sử dụng "không biết mình có vi phạm pháp luật hay không".</w:t>
            </w:r>
          </w:p>
        </w:tc>
        <w:tc>
          <w:tcPr>
            <w:tcW w:w="7087" w:type="dxa"/>
            <w:tcBorders>
              <w:top w:val="nil"/>
              <w:left w:val="nil"/>
              <w:bottom w:val="single" w:sz="4" w:space="0" w:color="auto"/>
              <w:right w:val="single" w:sz="4" w:space="0" w:color="auto"/>
            </w:tcBorders>
            <w:hideMark/>
          </w:tcPr>
          <w:p w14:paraId="2CA056F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tiếp thu ý kiến của Đại biểu. Dự thảo Luật AI V11 được xây dựng theo hướng luật khung, chỉ quy định các nguyên tắc, yêu cầu an toàn, minh bạch và quản lý dữ liệu mang tính nền tảng, còn các yêu cầu kỹ thuật và quy trình quản lý dữ liệu theo từng lĩnh vực có tác động lớn (như y tế, tài chính, giao thông, tư pháp) sẽ do Chính phủ và các bộ quản lý chuyên ngành quy định chi tiết tại nghị định, thông tư để bảo đảm tính phù hợp và khả thi.</w:t>
            </w:r>
            <w:r w:rsidRPr="00AA4A03">
              <w:rPr>
                <w:rFonts w:ascii="Times New Roman" w:eastAsia="Times New Roman" w:hAnsi="Times New Roman" w:cs="Times New Roman"/>
                <w:color w:val="000000"/>
                <w:kern w:val="0"/>
                <w:sz w:val="26"/>
                <w:szCs w:val="26"/>
                <w:lang w:val="vi-VN"/>
                <w14:ligatures w14:val="none"/>
              </w:rPr>
              <w:br/>
              <w:t>Các điều 10, 13, 14 và 16 của Luật đã thiết lập rõ nghĩa vụ minh bạch, quản lý rủi ro, an toàn kỹ thuật và bảo đảm nguồn dữ liệu hợp pháp, là cơ sở để tổ chức, cá nhân nhận biết và tuân thủ. Thiết kế này vừa bảo đảm sự rõ ràng trong áp dụng, vừa tránh việc Luật phải quy định riêng cho từng ngành, giúp người dân và doanh nghiệp không rơi vào tình trạng “không biết mình có vi phạm hay không”, đồng thời cho phép cơ quan chuyên ngành cập nhật yêu cầu kỹ thuật theo sự phát triển nhanh của công nghệ AI.</w:t>
            </w:r>
          </w:p>
        </w:tc>
      </w:tr>
      <w:tr w:rsidR="00B30308" w:rsidRPr="00EE706C" w14:paraId="5026FD0E" w14:textId="77777777" w:rsidTr="00B56CCF">
        <w:trPr>
          <w:trHeight w:val="973"/>
        </w:trPr>
        <w:tc>
          <w:tcPr>
            <w:tcW w:w="708" w:type="dxa"/>
            <w:tcBorders>
              <w:top w:val="nil"/>
              <w:left w:val="single" w:sz="4" w:space="0" w:color="auto"/>
              <w:bottom w:val="single" w:sz="4" w:space="0" w:color="auto"/>
              <w:right w:val="single" w:sz="4" w:space="0" w:color="auto"/>
            </w:tcBorders>
            <w:hideMark/>
          </w:tcPr>
          <w:p w14:paraId="5A067C58"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98</w:t>
            </w:r>
          </w:p>
        </w:tc>
        <w:tc>
          <w:tcPr>
            <w:tcW w:w="2548" w:type="dxa"/>
            <w:tcBorders>
              <w:top w:val="nil"/>
              <w:left w:val="nil"/>
              <w:bottom w:val="single" w:sz="4" w:space="0" w:color="auto"/>
              <w:right w:val="single" w:sz="4" w:space="0" w:color="auto"/>
            </w:tcBorders>
            <w:hideMark/>
          </w:tcPr>
          <w:p w14:paraId="45DD30B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Khánh Thu - Hưng Yên</w:t>
            </w:r>
          </w:p>
        </w:tc>
        <w:tc>
          <w:tcPr>
            <w:tcW w:w="4394" w:type="dxa"/>
            <w:tcBorders>
              <w:top w:val="nil"/>
              <w:left w:val="nil"/>
              <w:bottom w:val="single" w:sz="4" w:space="0" w:color="auto"/>
              <w:right w:val="single" w:sz="4" w:space="0" w:color="auto"/>
            </w:tcBorders>
            <w:hideMark/>
          </w:tcPr>
          <w:p w14:paraId="51A2697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Ngành y tế có tiềm năng ứng dụng AI lớn (chẩn đoán, điều trị, quản lý), nhưng việc sử dụng tùy tiện có thể gây hậu quả nghiêm trọng. Nêu ví dụ về việc người nhà dùng AI để tự chẩn đoán và mua thuốc chữa tăng huyết áp dẫn đến bệnh nhân bị đột quỵ, "dù được cứu qua cơn nguy kịch, song di chứng để lại là khó tránh khỏi".</w:t>
            </w:r>
            <w:r w:rsidRPr="00AA4A03">
              <w:rPr>
                <w:rFonts w:ascii="Times New Roman" w:eastAsia="Times New Roman" w:hAnsi="Times New Roman" w:cs="Times New Roman"/>
                <w:color w:val="000000"/>
                <w:kern w:val="0"/>
                <w:sz w:val="26"/>
                <w:szCs w:val="26"/>
                <w:lang w:val="vi-VN"/>
                <w14:ligatures w14:val="none"/>
              </w:rPr>
              <w:br/>
              <w:t xml:space="preserve">Đề xuất, kiến nghị: Cần bổ sung các điều khoản và khung pháp lý cụ thể để quản lý các sản phẩm AI dành cho y tế, đặc </w:t>
            </w:r>
            <w:r w:rsidRPr="00AA4A03">
              <w:rPr>
                <w:rFonts w:ascii="Times New Roman" w:eastAsia="Times New Roman" w:hAnsi="Times New Roman" w:cs="Times New Roman"/>
                <w:color w:val="000000"/>
                <w:kern w:val="0"/>
                <w:sz w:val="26"/>
                <w:szCs w:val="26"/>
                <w:lang w:val="vi-VN"/>
                <w14:ligatures w14:val="none"/>
              </w:rPr>
              <w:lastRenderedPageBreak/>
              <w:t>biệt là trách nhiệm của các bên liên quan và bảo mật dữ liệu y tế.</w:t>
            </w:r>
          </w:p>
        </w:tc>
        <w:tc>
          <w:tcPr>
            <w:tcW w:w="7087" w:type="dxa"/>
            <w:tcBorders>
              <w:top w:val="nil"/>
              <w:left w:val="nil"/>
              <w:bottom w:val="single" w:sz="4" w:space="0" w:color="auto"/>
              <w:right w:val="single" w:sz="4" w:space="0" w:color="auto"/>
            </w:tcBorders>
            <w:hideMark/>
          </w:tcPr>
          <w:p w14:paraId="5EB3FE2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Ban soạn thảo chia sẻ quan ngại của Đại biểu về rủi ro nghiêm trọng khi sử dụng AI tùy tiện trong y tế, đặc biệt trong chẩn đoán và điều trị – nơi sai số có thể ảnh hưởng trực tiếp đến tính mạng, như ví dụ Đại biểu nêu. Dự thảo Luật đã xác định toàn bộ hệ thống AI trong y tế là AI rủi ro cao, phải tuân thủ các nghĩa vụ nghiêm ngặt tại Điều 10, Điều 11 và Điều 13, gồm minh bạch, quản lý rủi ro, kiểm soát thuật toán và khả năng can thiệp của con người. Dữ liệu y tế là dữ liệu nhạy cảm và được bảo vệ chặt chẽ theo Điều 16 và Luật Dữ liệu. Trách nhiệm của các bên liên quan, bao gồm nhà phát triển, nhà cung cấp và bên triển khai, được quy định tại Điều 10, Điều 11 và Điều 13. Các yêu cầu kỹ thuật, quy trình kiểm định và giám sát chuyên ngành y tế sẽ do Chính phủ quy định chi tiết </w:t>
            </w:r>
            <w:r w:rsidRPr="00AA4A03">
              <w:rPr>
                <w:rFonts w:ascii="Times New Roman" w:eastAsia="Times New Roman" w:hAnsi="Times New Roman" w:cs="Times New Roman"/>
                <w:color w:val="000000"/>
                <w:kern w:val="0"/>
                <w:sz w:val="26"/>
                <w:szCs w:val="26"/>
                <w:lang w:val="vi-VN"/>
                <w14:ligatures w14:val="none"/>
              </w:rPr>
              <w:lastRenderedPageBreak/>
              <w:t>theo khoản 7 Điều 13, làm cơ sở để Bộ Y tế ban hành các quy định đặc thù. Thiết kế này bảo đảm an toàn tối đa cho người bệnh và phù hợp đặc thù ngành y.</w:t>
            </w:r>
          </w:p>
        </w:tc>
      </w:tr>
      <w:tr w:rsidR="00B30308" w:rsidRPr="00EE706C" w14:paraId="64BEAA16"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02C6D0FD"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99</w:t>
            </w:r>
          </w:p>
        </w:tc>
        <w:tc>
          <w:tcPr>
            <w:tcW w:w="2548" w:type="dxa"/>
            <w:tcBorders>
              <w:top w:val="nil"/>
              <w:left w:val="nil"/>
              <w:bottom w:val="single" w:sz="4" w:space="0" w:color="auto"/>
              <w:right w:val="single" w:sz="4" w:space="0" w:color="auto"/>
            </w:tcBorders>
            <w:hideMark/>
          </w:tcPr>
          <w:p w14:paraId="204C37A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Khánh Thu - Hưng Yên</w:t>
            </w:r>
          </w:p>
        </w:tc>
        <w:tc>
          <w:tcPr>
            <w:tcW w:w="4394" w:type="dxa"/>
            <w:tcBorders>
              <w:top w:val="nil"/>
              <w:left w:val="nil"/>
              <w:bottom w:val="single" w:sz="4" w:space="0" w:color="auto"/>
              <w:right w:val="single" w:sz="4" w:space="0" w:color="auto"/>
            </w:tcBorders>
            <w:hideMark/>
          </w:tcPr>
          <w:p w14:paraId="26FFCEE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Quy định về phạm vi điều chỉnh đối với hệ thống AI quốc phòng, an ninh khi chuyển đổi mục đích sử dụng còn khó áp dụng.</w:t>
            </w:r>
            <w:r w:rsidRPr="00AA4A03">
              <w:rPr>
                <w:rFonts w:ascii="Times New Roman" w:eastAsia="Times New Roman" w:hAnsi="Times New Roman" w:cs="Times New Roman"/>
                <w:color w:val="000000"/>
                <w:kern w:val="0"/>
                <w:sz w:val="26"/>
                <w:szCs w:val="26"/>
                <w:lang w:val="vi-VN"/>
                <w14:ligatures w14:val="none"/>
              </w:rPr>
              <w:br/>
              <w:t>Đề xuất, kiến nghị: Đề nghị cơ quan soạn thảo nghiên cứu điều chỉnh và làm rõ nguyên tắc: "không biết sử dụng cho mục đích khác với mục đích quy định thì lấy điều gì làm cơ sở để đo lường và đánh giá".</w:t>
            </w:r>
          </w:p>
        </w:tc>
        <w:tc>
          <w:tcPr>
            <w:tcW w:w="7087" w:type="dxa"/>
            <w:tcBorders>
              <w:top w:val="nil"/>
              <w:left w:val="nil"/>
              <w:bottom w:val="single" w:sz="4" w:space="0" w:color="auto"/>
              <w:right w:val="single" w:sz="4" w:space="0" w:color="auto"/>
            </w:tcBorders>
            <w:hideMark/>
          </w:tcPr>
          <w:p w14:paraId="3EB208A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Dự thảo Luật đã được chỉnh lý tại Điều 1 để bảo đảm thống nhất và rõ ràng hơn về phạm vi áp dụng đối với hệ thống trí tuệ nhân tạo lưỡng dụng. Khoản 3 Điều 1 quy định hệ thống AI lưỡng dụng, nếu được sử dụng cho mục đích khác (dân sự) ngoài mục đích quốc phòng, an ninh ban đầu, sẽ thuộc phạm vi điều chỉnh của Luật AI. Cơ sở để đo lường và đánh giá việc sử dụng sai mục đích là căn cứ vào các nghĩa vụ tuân thủ của Luật AI (ví dụ: nghĩa vụ phân loại rủi ro, minh bạch, an toàn, trách nhiệm giải trình) theo Điều 7 đến Điều 14. Cơ quan quản lý nhà nước sẽ thực hiện việc kiểm tra, giám sát, hậu kiểm theo mức độ rủi ro (Điều 9) và xử lý vi phạm (Điều 28) nếu phát hiện hành vi vi phạm hoặc sử dụng sai mục đích gây hậu quả. Như vậy, nguyên tắc kiểm soát đối với việc chuyển đổi và sử dụng sai mục đích đã được quy định cụ thể trong Dự thảo Luật.</w:t>
            </w:r>
          </w:p>
        </w:tc>
      </w:tr>
      <w:tr w:rsidR="00B30308" w:rsidRPr="00EE706C" w14:paraId="11009EAB"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0190025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100</w:t>
            </w:r>
          </w:p>
        </w:tc>
        <w:tc>
          <w:tcPr>
            <w:tcW w:w="2548" w:type="dxa"/>
            <w:tcBorders>
              <w:top w:val="nil"/>
              <w:left w:val="nil"/>
              <w:bottom w:val="single" w:sz="4" w:space="0" w:color="auto"/>
              <w:right w:val="single" w:sz="4" w:space="0" w:color="auto"/>
            </w:tcBorders>
            <w:hideMark/>
          </w:tcPr>
          <w:p w14:paraId="0CB73A4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Khánh Thu - Hưng Yên</w:t>
            </w:r>
          </w:p>
        </w:tc>
        <w:tc>
          <w:tcPr>
            <w:tcW w:w="4394" w:type="dxa"/>
            <w:tcBorders>
              <w:top w:val="nil"/>
              <w:left w:val="nil"/>
              <w:bottom w:val="single" w:sz="4" w:space="0" w:color="auto"/>
              <w:right w:val="single" w:sz="4" w:space="0" w:color="auto"/>
            </w:tcBorders>
            <w:hideMark/>
          </w:tcPr>
          <w:p w14:paraId="07E64E57"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Tiêu chí phân loại rủi ro của AI tại Điều 8 khoản 4 (mức độ tác động đến quyền con người) rất khó để định lượng.</w:t>
            </w:r>
          </w:p>
          <w:p w14:paraId="6C434168" w14:textId="0F9CA804"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Đề nghị cơ quan soạn thảo xem xét nên có phụ lục minh họa về các cấp độ rủi ro tương tự như của EU với các tiêu chí định lượng (mức độ tự chủ, quy mô người dùng ảnh hưởng đến quyền cơ bản hoặc lĩnh vực nhạy cảm như giáo dục, y tế, tư pháp hay hạ tầng, việc làm, v.v.).</w:t>
            </w:r>
          </w:p>
        </w:tc>
        <w:tc>
          <w:tcPr>
            <w:tcW w:w="7087" w:type="dxa"/>
            <w:tcBorders>
              <w:top w:val="nil"/>
              <w:left w:val="nil"/>
              <w:bottom w:val="single" w:sz="4" w:space="0" w:color="auto"/>
              <w:right w:val="single" w:sz="4" w:space="0" w:color="auto"/>
            </w:tcBorders>
            <w:hideMark/>
          </w:tcPr>
          <w:p w14:paraId="6B311E0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thống nhất rằng tiêu chí “mức độ tác động đến quyền con người” tại khoản 4 Điều 8 là tiêu chí cốt lõi nhưng khó lượng hóa tại cấp độ luật. Theo thông lệ quốc tế, kể cả Đạo luật AI của EU, các tiêu chí định lượng, bảng phân loại theo lĩnh vực nhạy cảm hoặc quy mô người dùng đều không quy định trong luật, mà được ủy quyền cho cơ quan hành pháp hướng dẫn chi tiết để bảo đảm tính linh hoạt trước sự phát triển rất nhanh của công nghệ. Dự thảo Luật AI đã theo đúng cách tiếp cận này: Điều 8 quy định nguyên tắc và tiêu chí phân loại rủi ro ở mức khung, còn chi tiết hóa các mức rủi ro, danh mục lĩnh vực nhạy cảm và tiêu chí kỹ thuật sẽ được Chính phủ quy định. Cách thiết kế này bảo đảm vừa rõ ràng tại cấp độ luật, vừa cho phép cập nhật kịp thời khi công nghệ và thực tiễn thay đổi, đồng thời tránh việc “đóng khung” các tiêu chí kỹ thuật cứng trong luật.</w:t>
            </w:r>
          </w:p>
        </w:tc>
      </w:tr>
      <w:tr w:rsidR="00B30308" w:rsidRPr="00EE706C" w14:paraId="0E9194A8" w14:textId="77777777" w:rsidTr="00AA4A03">
        <w:trPr>
          <w:trHeight w:val="2016"/>
        </w:trPr>
        <w:tc>
          <w:tcPr>
            <w:tcW w:w="708" w:type="dxa"/>
            <w:tcBorders>
              <w:top w:val="nil"/>
              <w:left w:val="single" w:sz="4" w:space="0" w:color="auto"/>
              <w:bottom w:val="single" w:sz="4" w:space="0" w:color="auto"/>
              <w:right w:val="single" w:sz="4" w:space="0" w:color="auto"/>
            </w:tcBorders>
            <w:hideMark/>
          </w:tcPr>
          <w:p w14:paraId="5FD3C0CA"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101</w:t>
            </w:r>
          </w:p>
        </w:tc>
        <w:tc>
          <w:tcPr>
            <w:tcW w:w="2548" w:type="dxa"/>
            <w:tcBorders>
              <w:top w:val="nil"/>
              <w:left w:val="nil"/>
              <w:bottom w:val="single" w:sz="4" w:space="0" w:color="auto"/>
              <w:right w:val="single" w:sz="4" w:space="0" w:color="auto"/>
            </w:tcBorders>
            <w:hideMark/>
          </w:tcPr>
          <w:p w14:paraId="5997E7D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Khánh Thu - Hưng Yên</w:t>
            </w:r>
          </w:p>
        </w:tc>
        <w:tc>
          <w:tcPr>
            <w:tcW w:w="4394" w:type="dxa"/>
            <w:tcBorders>
              <w:top w:val="nil"/>
              <w:left w:val="nil"/>
              <w:bottom w:val="single" w:sz="4" w:space="0" w:color="auto"/>
              <w:right w:val="single" w:sz="4" w:space="0" w:color="auto"/>
            </w:tcBorders>
            <w:hideMark/>
          </w:tcPr>
          <w:p w14:paraId="75F54267"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Việc chuyển từ hậu kiểm sang tiền kiểm cần có ngưỡng định lượng cụ thể.</w:t>
            </w:r>
          </w:p>
          <w:p w14:paraId="33A5F082" w14:textId="31BE8B5D"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Yêu cầu cần có ngưỡng định lượng rõ ràng, ví dụ khi mô hình thay đổi thuật toán hay tăng quy mô người dùng hoặc dữ liệu đào tạo vượt một ngưỡng cụ thể thì cần có việc thay đổi và báo cáo cụ thể.</w:t>
            </w:r>
          </w:p>
        </w:tc>
        <w:tc>
          <w:tcPr>
            <w:tcW w:w="7087" w:type="dxa"/>
            <w:tcBorders>
              <w:top w:val="nil"/>
              <w:left w:val="nil"/>
              <w:bottom w:val="single" w:sz="4" w:space="0" w:color="auto"/>
              <w:right w:val="single" w:sz="4" w:space="0" w:color="auto"/>
            </w:tcBorders>
            <w:hideMark/>
          </w:tcPr>
          <w:p w14:paraId="0008770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Cơ quan soạn thảo giải trình ý kiến của Đại biểu về yêu cầu cần có ngưỡng định lượng cụ thể. Dự thảo Luật, với tính chất là luật khung, đã quy định nguyên tắc tại Điều 12 khoản 1: hệ thống rủi ro cao phải được đánh giá lại khi có thay đổi đáng kể trong quá trình vận hành. Việc xác định các ngưỡng định lượng cụ thể (như thay đổi thuật toán, tăng quy mô dữ liệu huấn luyện, hoặc quy mô người dùng) là vấn đề mang tính kỹ thuật, cần phải linh hoạt để phù hợp với tốc độ phát triển của AI. Ban soạn thảo sẽ nghiên cứu, xem xét, cụ thể hóa các tiêu chí định lượng này trong quá trình xây dựng Nghị định hướng dẫn (theo thẩm quyền giao Chính phủ quy định chi tiết Điều 12 khoản 9).</w:t>
            </w:r>
          </w:p>
        </w:tc>
      </w:tr>
      <w:tr w:rsidR="00B30308" w:rsidRPr="00EE706C" w14:paraId="51FC6C1E" w14:textId="77777777" w:rsidTr="00AA4A03">
        <w:trPr>
          <w:trHeight w:val="2016"/>
        </w:trPr>
        <w:tc>
          <w:tcPr>
            <w:tcW w:w="708" w:type="dxa"/>
            <w:tcBorders>
              <w:top w:val="nil"/>
              <w:left w:val="single" w:sz="4" w:space="0" w:color="auto"/>
              <w:bottom w:val="single" w:sz="4" w:space="0" w:color="auto"/>
              <w:right w:val="single" w:sz="4" w:space="0" w:color="auto"/>
            </w:tcBorders>
            <w:hideMark/>
          </w:tcPr>
          <w:p w14:paraId="02009F0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102</w:t>
            </w:r>
          </w:p>
        </w:tc>
        <w:tc>
          <w:tcPr>
            <w:tcW w:w="2548" w:type="dxa"/>
            <w:tcBorders>
              <w:top w:val="nil"/>
              <w:left w:val="nil"/>
              <w:bottom w:val="single" w:sz="4" w:space="0" w:color="auto"/>
              <w:right w:val="single" w:sz="4" w:space="0" w:color="auto"/>
            </w:tcBorders>
            <w:hideMark/>
          </w:tcPr>
          <w:p w14:paraId="6CE20A5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Khánh Thu - Hưng Yên</w:t>
            </w:r>
          </w:p>
        </w:tc>
        <w:tc>
          <w:tcPr>
            <w:tcW w:w="4394" w:type="dxa"/>
            <w:tcBorders>
              <w:top w:val="nil"/>
              <w:left w:val="nil"/>
              <w:bottom w:val="single" w:sz="4" w:space="0" w:color="auto"/>
              <w:right w:val="single" w:sz="4" w:space="0" w:color="auto"/>
            </w:tcBorders>
            <w:hideMark/>
          </w:tcPr>
          <w:p w14:paraId="36B37EE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Điều 28 về xử phạt vi phạm hành chính đang có sự mâu thuẫn giữa quy định mức phạt tiền cụ thể tại khoản 2 và nguyên tắc điều chỉnh theo Luật Xử lý vi phạm hành chính (như Báo cáo giải trình 339 đã nêu).</w:t>
            </w:r>
            <w:r w:rsidRPr="00AA4A03">
              <w:rPr>
                <w:rFonts w:ascii="Times New Roman" w:eastAsia="Times New Roman" w:hAnsi="Times New Roman" w:cs="Times New Roman"/>
                <w:color w:val="000000"/>
                <w:kern w:val="0"/>
                <w:sz w:val="26"/>
                <w:szCs w:val="26"/>
                <w:lang w:val="vi-VN"/>
                <w14:ligatures w14:val="none"/>
              </w:rPr>
              <w:br/>
              <w:t>Đề xuất, kiến nghị: Đề nghị Ban soạn thảo nghiên cứu, xem xét điều chỉnh để đảm bảo tính thống nhất trong việc quy định mức phạt tiền và việc ủy quyền cho Chính phủ quy định chi tiết về xử phạt.</w:t>
            </w:r>
          </w:p>
        </w:tc>
        <w:tc>
          <w:tcPr>
            <w:tcW w:w="7087" w:type="dxa"/>
            <w:tcBorders>
              <w:top w:val="nil"/>
              <w:left w:val="nil"/>
              <w:bottom w:val="single" w:sz="4" w:space="0" w:color="auto"/>
              <w:right w:val="single" w:sz="4" w:space="0" w:color="auto"/>
            </w:tcBorders>
            <w:hideMark/>
          </w:tcPr>
          <w:p w14:paraId="1F193A6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Ban soạn thảo khẳng định Điều 28 của Dự thảo Luật không quy định mức phạt tiền cụ thể, mà chỉ xác định nguyên tắc chung về xử lý vi phạm và trách nhiệm pháp lý của các chủ thể, bảo đảm thống nhất với Luật Xử lý vi phạm hành chính. Việc quy định hành vi vi phạm, mức phạt tiền, thẩm quyền xử phạt và biện pháp khắc phục hậu quả liên quan đến trí tuệ nhân tạo sẽ được Chính phủ quy định chi tiết tại nghị định, theo đúng thẩm quyền được Luật Xử lý vi phạm hành chính cho phép. Thiết kế này bảo đảm Dự thảo Luật AI giữ đúng tính chất luật khung, tránh mâu thuẫn pháp luật, đồng thời tạo cơ sở đầy đủ để áp dụng chế tài đủ mạnh trong thực tiễn.</w:t>
            </w:r>
          </w:p>
        </w:tc>
      </w:tr>
      <w:tr w:rsidR="00B30308" w:rsidRPr="00EE706C" w14:paraId="51BC261E"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5BCC9855"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103</w:t>
            </w:r>
          </w:p>
        </w:tc>
        <w:tc>
          <w:tcPr>
            <w:tcW w:w="2548" w:type="dxa"/>
            <w:tcBorders>
              <w:top w:val="nil"/>
              <w:left w:val="nil"/>
              <w:bottom w:val="single" w:sz="4" w:space="0" w:color="auto"/>
              <w:right w:val="single" w:sz="4" w:space="0" w:color="auto"/>
            </w:tcBorders>
            <w:hideMark/>
          </w:tcPr>
          <w:p w14:paraId="52FCE22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Văn Lâm (Bắc Ninh)</w:t>
            </w:r>
          </w:p>
        </w:tc>
        <w:tc>
          <w:tcPr>
            <w:tcW w:w="4394" w:type="dxa"/>
            <w:tcBorders>
              <w:top w:val="nil"/>
              <w:left w:val="nil"/>
              <w:bottom w:val="single" w:sz="4" w:space="0" w:color="auto"/>
              <w:right w:val="single" w:sz="4" w:space="0" w:color="auto"/>
            </w:tcBorders>
            <w:hideMark/>
          </w:tcPr>
          <w:p w14:paraId="0ED985C5"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AI đem lại lợi ích to lớn (hỗ trợ y tế, giáo dục, năng suất, dự báo) nhưng cũng gieo những nguy cơ không thể xem nhẹ, bao gồm bị lợi dụng để giả mạo, thao túng thông tin, lừa đảo, thay thế lao động, làm gia tăng bất bình đẳng, và đe dọa chủ quyền số. Điều đáng lo nhất là AI có thể làm khi ngoài vòng kiểm soát của con người, hình thành mục tiêu riêng.</w:t>
            </w:r>
          </w:p>
          <w:p w14:paraId="4A7BB905" w14:textId="18945DA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Đánh giá cao các nguyên tắc nền tảng như lấy con người làm trung tâm, phân loại và kiểm soát rủi ro cao, nhưng đề nghị tiếp cận AI như một thực thể "cần được dạy" về giá trị và đạo đức ngay từ đầu.</w:t>
            </w:r>
          </w:p>
        </w:tc>
        <w:tc>
          <w:tcPr>
            <w:tcW w:w="7087" w:type="dxa"/>
            <w:tcBorders>
              <w:top w:val="nil"/>
              <w:left w:val="nil"/>
              <w:bottom w:val="single" w:sz="4" w:space="0" w:color="auto"/>
              <w:right w:val="single" w:sz="4" w:space="0" w:color="auto"/>
            </w:tcBorders>
            <w:hideMark/>
          </w:tcPr>
          <w:p w14:paraId="0775D50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tiếp thu tinh thần ý kiến của Đại biểu Quốc hội, Cơ quan soạn thảo nhất trí với nhận định về tính hai mặt của trí tuệ nhân tạo. Tinh thần cốt lõi của Dự thảo Luật là lấy con người làm trung tâm và đặt nguyên tắc tối cao là AI phục vụ con người, không thay thế thẩm quyền và trách nhiệm của con người (khoản 2 Điều 4). Việc tiếp cận AI như một thực thể cần được “dạy” về đạo đức được thể hiện xuyên suốt qua các quy định nhằm quản lý đầu vào, khuôn khổ sử dụng và hậu quả. Cụ thể, Dự thảo Luật đã quy định: (1) các nguyên tắc đạo đức cốt lõi tại Điều 4 và Khung đạo đức quốc gia tại Điều 25; (2) yêu cầu kiểm soát sai lệch và trách nhiệm giải trình (Điều 13); và (3) các hành vi bị cấm tuyệt đối, bao gồm lừa dối, thao túng hoặc lợi dụng nhóm dễ bị tổn thương (Điều 6). Như vậy, các nội dung Đại biểu quan tâm đã được phản ánh trong Dự thảo Luật.</w:t>
            </w:r>
          </w:p>
        </w:tc>
      </w:tr>
      <w:tr w:rsidR="00B30308" w:rsidRPr="00EE706C" w14:paraId="1589736A"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3A0F2038"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104</w:t>
            </w:r>
          </w:p>
        </w:tc>
        <w:tc>
          <w:tcPr>
            <w:tcW w:w="2548" w:type="dxa"/>
            <w:tcBorders>
              <w:top w:val="nil"/>
              <w:left w:val="nil"/>
              <w:bottom w:val="single" w:sz="4" w:space="0" w:color="auto"/>
              <w:right w:val="single" w:sz="4" w:space="0" w:color="auto"/>
            </w:tcBorders>
            <w:hideMark/>
          </w:tcPr>
          <w:p w14:paraId="7153DD9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Văn Lâm (Bắc Ninh)</w:t>
            </w:r>
          </w:p>
        </w:tc>
        <w:tc>
          <w:tcPr>
            <w:tcW w:w="4394" w:type="dxa"/>
            <w:tcBorders>
              <w:top w:val="nil"/>
              <w:left w:val="nil"/>
              <w:bottom w:val="single" w:sz="4" w:space="0" w:color="auto"/>
              <w:right w:val="single" w:sz="4" w:space="0" w:color="auto"/>
            </w:tcBorders>
            <w:hideMark/>
          </w:tcPr>
          <w:p w14:paraId="396883C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xuất bổ sung nguyên tắc pháp lý về "vòng kim cô" kỹ thuật để kiểm soát hành vi của AI, đảm bảo AI không đi chệch hướng. Bắt buộc trang bị CSDL nền tảng về chuẩn mực đạo đức, văn hóa, và pháp luật Việt Nam. "Tôi kiến nghị Quốc hội bổ sung nguyên tắc pháp lý trong luật này là mọi phần mềm AI hoạt động tại Việt Nam dù do tổ chức trong hay ngoài nước phát triển thì đều phải được trang bị một cơ sở dữ liệu nền tảng làm người chuẩn mực.".</w:t>
            </w:r>
            <w:r w:rsidRPr="00AA4A03">
              <w:rPr>
                <w:rFonts w:ascii="Times New Roman" w:eastAsia="Times New Roman" w:hAnsi="Times New Roman" w:cs="Times New Roman"/>
                <w:color w:val="000000"/>
                <w:kern w:val="0"/>
                <w:sz w:val="26"/>
                <w:szCs w:val="26"/>
                <w:lang w:val="vi-VN"/>
                <w14:ligatures w14:val="none"/>
              </w:rPr>
              <w:br/>
              <w:t>Đề xuất, kiến nghị: Cơ sở dữ liệu nền tảng này phải "luôn chiếm vị trí ưu tiên tuyệt đối trong việc chi phối hành vi của AI, không được phép bị ghi đè, bị thay thế hoặc bị vô hiệu hóa bởi bất kỳ một thuật toán hoặc một dữ liệu huấn luyện nào khác như BIOS trong các máy tính trước đây".</w:t>
            </w:r>
          </w:p>
        </w:tc>
        <w:tc>
          <w:tcPr>
            <w:tcW w:w="7087" w:type="dxa"/>
            <w:tcBorders>
              <w:top w:val="nil"/>
              <w:left w:val="nil"/>
              <w:bottom w:val="single" w:sz="4" w:space="0" w:color="auto"/>
              <w:right w:val="single" w:sz="4" w:space="0" w:color="auto"/>
            </w:tcBorders>
            <w:hideMark/>
          </w:tcPr>
          <w:p w14:paraId="799463C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ghi nhận đề xuất về việc thiết lập “vòng kim cô kỹ thuật” nhằm bảo đảm hệ thống AI không đi chệch khỏi các giá trị đạo đức và chuẩn mực pháp luật của Việt Nam. Cách tiếp cận của Dự thảo Luật là thể chế hóa yêu cầu này thông qua nguyên tắc bảo đảm an toàn, đạo đức, và sự kiểm soát của con người tại Điều 4; nghĩa vụ thiết kế an toàn, giảm thiểu thiên lệch và tuân thủ pháp luật tại Điều 11 và Điều 12; cùng yêu cầu kiểm soát rủi ro, khả năng can thiệp, tạm dừng và chấm dứt hoạt động đối với AI rủi ro cao tại Điều 13. Luật không quy định một “CSDL đạo đức bắt buộc”, vì việc can thiệp trực tiếp vào cấu trúc thuật toán hoặc dữ liệu huấn luyện là không phù hợp kỹ thuật và dễ lỗi thời. Thay vào đó, Luật tạo khuôn khổ pháp lý để bảo đảm mọi hệ thống AI vận hành theo chuẩn mực đạo đức – văn hóa – pháp luật Việt Nam thông qua nghĩa vụ minh bạch (Điều 10), trách nhiệm giải trình (Điều 26) và cơ chế kiểm soát rủi ro xuyên suốt vòng đời hệ thống. Cách tiếp cận này bảo đảm mục tiêu kiểm soát chặt chẽ AI mà vẫn phù hợp với thông lệ quốc tế và thực tiễn công nghệ.</w:t>
            </w:r>
          </w:p>
        </w:tc>
      </w:tr>
      <w:tr w:rsidR="00B30308" w:rsidRPr="00EE706C" w14:paraId="148C5BEE"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551D6C1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105</w:t>
            </w:r>
          </w:p>
        </w:tc>
        <w:tc>
          <w:tcPr>
            <w:tcW w:w="2548" w:type="dxa"/>
            <w:tcBorders>
              <w:top w:val="nil"/>
              <w:left w:val="nil"/>
              <w:bottom w:val="single" w:sz="4" w:space="0" w:color="auto"/>
              <w:right w:val="single" w:sz="4" w:space="0" w:color="auto"/>
            </w:tcBorders>
            <w:hideMark/>
          </w:tcPr>
          <w:p w14:paraId="64C9A71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Văn Lâm (Bắc Ninh)</w:t>
            </w:r>
          </w:p>
        </w:tc>
        <w:tc>
          <w:tcPr>
            <w:tcW w:w="4394" w:type="dxa"/>
            <w:tcBorders>
              <w:top w:val="nil"/>
              <w:left w:val="nil"/>
              <w:bottom w:val="single" w:sz="4" w:space="0" w:color="auto"/>
              <w:right w:val="single" w:sz="4" w:space="0" w:color="auto"/>
            </w:tcBorders>
            <w:hideMark/>
          </w:tcPr>
          <w:p w14:paraId="271C28A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Để triển khai định hướng trên, kiến nghị Chính phủ và các cơ quan nhà nước thực hiện 4 nhóm nhiệm vụ trọng tâm (Nhóm 1 và 2): Xây dựng CSDL và Hạ tầng tính toán.</w:t>
            </w:r>
            <w:r w:rsidRPr="00AA4A03">
              <w:rPr>
                <w:rFonts w:ascii="Times New Roman" w:eastAsia="Times New Roman" w:hAnsi="Times New Roman" w:cs="Times New Roman"/>
                <w:color w:val="000000"/>
                <w:kern w:val="0"/>
                <w:sz w:val="26"/>
                <w:szCs w:val="26"/>
                <w:lang w:val="vi-VN"/>
                <w14:ligatures w14:val="none"/>
              </w:rPr>
              <w:br/>
              <w:t>Đề xuất, kiến nghị: Thứ nhất, Bộ Khoa học và Công nghệ (KH&amp;CN) cần chủ trì xây dựng bộ CSDL nền tảng cho người Việt Nam thống nhất, chuẩn hóa, cập nhật liên tục. Thứ hai, Chính phủ phát triển hạ tầng tính toán quốc gia mạnh mẽ để đảm bảo AI Việt Nam được đào tạo trên các giá trị Việt Nam, không lệ thuộc vào các mô hình của nước ngoài.</w:t>
            </w:r>
          </w:p>
        </w:tc>
        <w:tc>
          <w:tcPr>
            <w:tcW w:w="7087" w:type="dxa"/>
            <w:tcBorders>
              <w:top w:val="nil"/>
              <w:left w:val="nil"/>
              <w:bottom w:val="single" w:sz="4" w:space="0" w:color="auto"/>
              <w:right w:val="single" w:sz="4" w:space="0" w:color="auto"/>
            </w:tcBorders>
            <w:hideMark/>
          </w:tcPr>
          <w:p w14:paraId="7E50357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Hai nội dung được Đại biểu Quốc hội nêu - xây dựng cơ sở dữ liệu nền tảng cho người Việt Nam và phát triển hạ tầng tính toán quốc gia - đều đã được quy định trong Dự thảo Luật. Cụ thể, Điều 17 quy định việc phát triển mô hình ngôn ngữ lớn tiếng Việt và tiếng dân tộc dựa trên “nguồn dữ liệu chuẩn hóa, đa dạng, đại diện cho người Việt Nam”. Đồng thời, Điều 15 quy định hạ tầng trí tuệ nhân tạo quốc gia là hạ tầng chiến lược, bao gồm năng lực tính toán, dữ liệu dùng chung, nền tảng huấn luyện và các mô hình nền tảng do Nhà nước đầu tư, vận hành. Quy định này cho phép Nhà nước phát triển hạ tầng tính toán mạnh để bảo đảm năng lực tự chủ trong đào tạo mô hình AI, hạn chế phụ thuộc vào nước ngoài. Các chính sách ưu tiên và cơ chế điều phối, đầu tư cho hạ tầng tính toán được giao Chính phủ quy định chi tiết tại khoản 6 Điều 15. Thiết kế này đã bao quát đầy đủ các đề xuất của Đại biểu và bảo đảm tính khả thi khi triển khai.</w:t>
            </w:r>
          </w:p>
        </w:tc>
      </w:tr>
      <w:tr w:rsidR="00B30308" w:rsidRPr="00EE706C" w14:paraId="4AC6AEEC" w14:textId="77777777" w:rsidTr="00B56CCF">
        <w:trPr>
          <w:trHeight w:val="1115"/>
        </w:trPr>
        <w:tc>
          <w:tcPr>
            <w:tcW w:w="708" w:type="dxa"/>
            <w:vMerge w:val="restart"/>
            <w:tcBorders>
              <w:top w:val="nil"/>
              <w:left w:val="single" w:sz="4" w:space="0" w:color="auto"/>
              <w:bottom w:val="single" w:sz="4" w:space="0" w:color="000000"/>
              <w:right w:val="single" w:sz="4" w:space="0" w:color="auto"/>
            </w:tcBorders>
            <w:hideMark/>
          </w:tcPr>
          <w:p w14:paraId="67AF6E6F"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w:t>
            </w:r>
          </w:p>
        </w:tc>
        <w:tc>
          <w:tcPr>
            <w:tcW w:w="2548" w:type="dxa"/>
            <w:vMerge w:val="restart"/>
            <w:tcBorders>
              <w:top w:val="nil"/>
              <w:left w:val="single" w:sz="4" w:space="0" w:color="auto"/>
              <w:bottom w:val="single" w:sz="4" w:space="0" w:color="000000"/>
              <w:right w:val="single" w:sz="4" w:space="0" w:color="auto"/>
            </w:tcBorders>
            <w:hideMark/>
          </w:tcPr>
          <w:p w14:paraId="502C824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Văn Lâm (Bắc Ninh)</w:t>
            </w:r>
          </w:p>
        </w:tc>
        <w:tc>
          <w:tcPr>
            <w:tcW w:w="4394" w:type="dxa"/>
            <w:tcBorders>
              <w:top w:val="nil"/>
              <w:left w:val="nil"/>
              <w:bottom w:val="single" w:sz="4" w:space="0" w:color="auto"/>
              <w:right w:val="single" w:sz="4" w:space="0" w:color="auto"/>
            </w:tcBorders>
            <w:hideMark/>
          </w:tcPr>
          <w:p w14:paraId="568E8B2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Để triển khai định hướng trên, kiến nghị Chính phủ và các cơ quan nhà nước thực hiện 4 nhóm nhiệm vụ trọng tâm (Nhóm 3 và 4): Kiểm định và Giáo dục.</w:t>
            </w:r>
            <w:r w:rsidRPr="00AA4A03">
              <w:rPr>
                <w:rFonts w:ascii="Times New Roman" w:eastAsia="Times New Roman" w:hAnsi="Times New Roman" w:cs="Times New Roman"/>
                <w:color w:val="000000"/>
                <w:kern w:val="0"/>
                <w:sz w:val="26"/>
                <w:szCs w:val="26"/>
                <w:lang w:val="vi-VN"/>
                <w14:ligatures w14:val="none"/>
              </w:rPr>
              <w:br/>
              <w:t>Đề xuất, kiến nghị: Thứ ba, phải sớm xây dựng được Trung tâm Quốc gia kiểm định AI nhằm đánh giá hành vi lệch chuẩn, kiểm soát các mô hình rủi ro cao và kịp thời can thiệp khi có dấu hiệu vượt ngoài giới hạn.</w:t>
            </w:r>
          </w:p>
        </w:tc>
        <w:tc>
          <w:tcPr>
            <w:tcW w:w="7087" w:type="dxa"/>
            <w:tcBorders>
              <w:top w:val="nil"/>
              <w:left w:val="nil"/>
              <w:bottom w:val="single" w:sz="4" w:space="0" w:color="auto"/>
              <w:right w:val="single" w:sz="4" w:space="0" w:color="auto"/>
            </w:tcBorders>
            <w:hideMark/>
          </w:tcPr>
          <w:p w14:paraId="357C205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Ban soạn thảo xin báo cáo như sau: Ban soạn thảo đồng tình với mục tiêu tăng cường năng lực kiểm định, đánh giá và giám sát các mô hình AI rủi ro cao. Dự thảo Luật AI đã quy định đầy đủ khung pháp lý để thực hiện hoạt động này, bao gồm: cơ chế thử nghiệm có kiểm soát (Điều 20), nghĩa vụ đánh giá rủi ro, kiểm soát hành vi lệch chuẩn và giám sát vận hành đối với AI rủi ro cao (Điều 13), cũng như quy định về kiểm định, đánh giá sự phù hợp theo tiêu chuẩn quốc gia và quốc tế (Điều 33). Việc thành lập Trung tâm Quốc gia kiểm định AI là vấn đề tổ chức bộ máy thuộc thẩm quyền của Chính phủ theo Luật Tổ chức Chính phủ, và sẽ được xem xét trên cơ sở yêu cầu thực tiễn, bảo đảm không đặt quy định cứng trong Luật để tránh trói buộc mô hình tổ chức. Khi triển khai Luật, </w:t>
            </w:r>
            <w:r w:rsidRPr="00AA4A03">
              <w:rPr>
                <w:rFonts w:ascii="Times New Roman" w:eastAsia="Times New Roman" w:hAnsi="Times New Roman" w:cs="Times New Roman"/>
                <w:color w:val="000000"/>
                <w:kern w:val="0"/>
                <w:sz w:val="26"/>
                <w:szCs w:val="26"/>
                <w:lang w:val="vi-VN"/>
                <w14:ligatures w14:val="none"/>
              </w:rPr>
              <w:lastRenderedPageBreak/>
              <w:t>Chính phủ có thể giao nhiệm vụ cho cơ quan hiện có hoặc thành lập tổ chức chuyên trách nếu cần thiết để thực hiện công tác kiểm định và can thiệp kịp thời đối với các hệ thống rủi ro cao.</w:t>
            </w:r>
          </w:p>
        </w:tc>
      </w:tr>
      <w:tr w:rsidR="00B30308" w:rsidRPr="00EE706C" w14:paraId="04EA6F28" w14:textId="77777777" w:rsidTr="00AA4A03">
        <w:trPr>
          <w:trHeight w:val="2592"/>
        </w:trPr>
        <w:tc>
          <w:tcPr>
            <w:tcW w:w="708" w:type="dxa"/>
            <w:vMerge/>
            <w:tcBorders>
              <w:top w:val="nil"/>
              <w:left w:val="single" w:sz="4" w:space="0" w:color="auto"/>
              <w:bottom w:val="single" w:sz="4" w:space="0" w:color="000000"/>
              <w:right w:val="single" w:sz="4" w:space="0" w:color="auto"/>
            </w:tcBorders>
            <w:hideMark/>
          </w:tcPr>
          <w:p w14:paraId="43316F4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p>
        </w:tc>
        <w:tc>
          <w:tcPr>
            <w:tcW w:w="2548" w:type="dxa"/>
            <w:vMerge/>
            <w:tcBorders>
              <w:top w:val="nil"/>
              <w:left w:val="single" w:sz="4" w:space="0" w:color="auto"/>
              <w:bottom w:val="single" w:sz="4" w:space="0" w:color="000000"/>
              <w:right w:val="single" w:sz="4" w:space="0" w:color="auto"/>
            </w:tcBorders>
            <w:hideMark/>
          </w:tcPr>
          <w:p w14:paraId="5A878F1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p>
        </w:tc>
        <w:tc>
          <w:tcPr>
            <w:tcW w:w="4394" w:type="dxa"/>
            <w:tcBorders>
              <w:top w:val="nil"/>
              <w:left w:val="nil"/>
              <w:bottom w:val="single" w:sz="4" w:space="0" w:color="auto"/>
              <w:right w:val="single" w:sz="4" w:space="0" w:color="auto"/>
            </w:tcBorders>
            <w:hideMark/>
          </w:tcPr>
          <w:p w14:paraId="1D899FC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Để triển khai định hướng trên, kiến nghị Chính phủ và các cơ quan nhà nước thực hiện 4 nhóm nhiệm vụ trọng tâm (Nhóm 3 và 4): Kiểm định và Giáo dục.</w:t>
            </w:r>
            <w:r w:rsidRPr="00AA4A03">
              <w:rPr>
                <w:rFonts w:ascii="Times New Roman" w:eastAsia="Times New Roman" w:hAnsi="Times New Roman" w:cs="Times New Roman"/>
                <w:color w:val="000000"/>
                <w:kern w:val="0"/>
                <w:sz w:val="26"/>
                <w:szCs w:val="26"/>
                <w:lang w:val="vi-VN"/>
                <w14:ligatures w14:val="none"/>
              </w:rPr>
              <w:br/>
              <w:t>Đề xuất, kiến nghị: Thứ tư, phải tiếp tục thúc đẩy giáo dục AI trong toàn xã hội, đặc biệt giúp đội ngũ công quyền đủ năng lực nhận diện, sử dụng và giám sát AI đúng đắn.</w:t>
            </w:r>
          </w:p>
        </w:tc>
        <w:tc>
          <w:tcPr>
            <w:tcW w:w="7087" w:type="dxa"/>
            <w:tcBorders>
              <w:top w:val="nil"/>
              <w:left w:val="nil"/>
              <w:bottom w:val="single" w:sz="4" w:space="0" w:color="auto"/>
              <w:right w:val="single" w:sz="4" w:space="0" w:color="auto"/>
            </w:tcBorders>
            <w:hideMark/>
          </w:tcPr>
          <w:p w14:paraId="43C36C2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của Đại biểu. Dự thảo Luật đã thiết kế đầy đủ khung pháp lý để triển khai giáo dục và nâng cao năng lực AI trong toàn xã hội. Điều 22 quy định trách nhiệm phát triển nguồn nhân lực AI, trong đó Nhà nước thúc đẩy đào tạo chuyên sâu, bồi dưỡng kỹ năng AI cho đội ngũ cán bộ, công chức và mở rộng năng lực tại địa phương. Điều 5 và Điều 4 đặt ra nguyên tắc phổ cập tri thức AI, bảo đảm con người giữ quyền kiểm soát và sử dụng AI an toàn. Đối với khu vực công, Điều 26 yêu cầu cơ quan nhà nước khi ứng dụng AI phải bảo đảm năng lực sử dụng, giám sát, giải trình và bảo vệ quyền công dân.</w:t>
            </w:r>
            <w:r w:rsidRPr="00AA4A03">
              <w:rPr>
                <w:rFonts w:ascii="Times New Roman" w:eastAsia="Times New Roman" w:hAnsi="Times New Roman" w:cs="Times New Roman"/>
                <w:color w:val="000000"/>
                <w:kern w:val="0"/>
                <w:sz w:val="26"/>
                <w:szCs w:val="26"/>
                <w:lang w:val="vi-VN"/>
                <w14:ligatures w14:val="none"/>
              </w:rPr>
              <w:br/>
              <w:t xml:space="preserve">Với cấu trúc này, Luật không quy định chương trình giáo dục cụ thể (thuộc thẩm quyền các luật chuyên ngành), nhưng tạo đầy đủ cơ sở pháp lý để Chính phủ xây dựng các chương trình nâng cao nhận thức AI trong cộng đồng </w:t>
            </w:r>
          </w:p>
        </w:tc>
      </w:tr>
      <w:tr w:rsidR="00B30308" w:rsidRPr="00EE706C" w14:paraId="57BF9934" w14:textId="77777777" w:rsidTr="00B56CCF">
        <w:trPr>
          <w:trHeight w:val="1115"/>
        </w:trPr>
        <w:tc>
          <w:tcPr>
            <w:tcW w:w="708" w:type="dxa"/>
            <w:tcBorders>
              <w:top w:val="nil"/>
              <w:left w:val="single" w:sz="4" w:space="0" w:color="auto"/>
              <w:bottom w:val="single" w:sz="4" w:space="0" w:color="auto"/>
              <w:right w:val="single" w:sz="4" w:space="0" w:color="auto"/>
            </w:tcBorders>
            <w:hideMark/>
          </w:tcPr>
          <w:p w14:paraId="30B710B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107</w:t>
            </w:r>
          </w:p>
        </w:tc>
        <w:tc>
          <w:tcPr>
            <w:tcW w:w="2548" w:type="dxa"/>
            <w:tcBorders>
              <w:top w:val="nil"/>
              <w:left w:val="nil"/>
              <w:bottom w:val="single" w:sz="4" w:space="0" w:color="auto"/>
              <w:right w:val="single" w:sz="4" w:space="0" w:color="auto"/>
            </w:tcBorders>
            <w:hideMark/>
          </w:tcPr>
          <w:p w14:paraId="7A085B3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Trần Văn Lâm (Bắc Ninh)</w:t>
            </w:r>
          </w:p>
        </w:tc>
        <w:tc>
          <w:tcPr>
            <w:tcW w:w="4394" w:type="dxa"/>
            <w:tcBorders>
              <w:top w:val="nil"/>
              <w:left w:val="nil"/>
              <w:bottom w:val="single" w:sz="4" w:space="0" w:color="auto"/>
              <w:right w:val="single" w:sz="4" w:space="0" w:color="auto"/>
            </w:tcBorders>
            <w:hideMark/>
          </w:tcPr>
          <w:p w14:paraId="2DA07C64"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Việt Nam cần có tầm nhìn chủ động, thận trọng và nhân văn, đồng thời có thể đi đầu để đề xuất và dẫn dắt sáng kiến về Công ước quốc tế về an toàn AI.</w:t>
            </w:r>
            <w:r w:rsidRPr="00AA4A03">
              <w:rPr>
                <w:rFonts w:ascii="Times New Roman" w:eastAsia="Times New Roman" w:hAnsi="Times New Roman" w:cs="Times New Roman"/>
                <w:color w:val="000000"/>
                <w:kern w:val="0"/>
                <w:sz w:val="26"/>
                <w:szCs w:val="26"/>
                <w:lang w:val="vi-VN"/>
                <w14:ligatures w14:val="none"/>
              </w:rPr>
              <w:br/>
              <w:t xml:space="preserve">Đề xuất, kiến nghị: Đề xuất Việt Nam đi đầu đề xuất "Công ước quốc tế về an toàn AI" để thiết lập chuẩn mực chung, </w:t>
            </w:r>
            <w:r w:rsidRPr="00AA4A03">
              <w:rPr>
                <w:rFonts w:ascii="Times New Roman" w:eastAsia="Times New Roman" w:hAnsi="Times New Roman" w:cs="Times New Roman"/>
                <w:color w:val="000000"/>
                <w:kern w:val="0"/>
                <w:sz w:val="26"/>
                <w:szCs w:val="26"/>
                <w:lang w:val="vi-VN"/>
                <w14:ligatures w14:val="none"/>
              </w:rPr>
              <w:lastRenderedPageBreak/>
              <w:t>ngăn ngừa rủi ro vượt kiểm soát và bảo vệ quyền con người.</w:t>
            </w:r>
          </w:p>
        </w:tc>
        <w:tc>
          <w:tcPr>
            <w:tcW w:w="7087" w:type="dxa"/>
            <w:tcBorders>
              <w:top w:val="nil"/>
              <w:left w:val="nil"/>
              <w:bottom w:val="single" w:sz="4" w:space="0" w:color="auto"/>
              <w:right w:val="single" w:sz="4" w:space="0" w:color="auto"/>
            </w:tcBorders>
            <w:hideMark/>
          </w:tcPr>
          <w:p w14:paraId="00D0C45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Ban soạn thảo trân trọng tiếp thu quan điểm về việc Việt Nam cần chủ động và có tầm nhìn dài hạn trong định hình chuẩn mực quốc tế về an toàn AI, bao gồm khả năng đề xuất sáng kiến như “Công ước quốc tế về an toàn AI”. Dự thảo Luật đã có quy định đầy đủ tại Điều 29 (Hợp tác quốc tế về trí tuệ nhân tạo), trong đó Nhà nước “tăng cường tham gia, đề xuất và xây dựng các chuẩn mực, khuôn khổ hợp tác và điều ước quốc tế về AI”. Do đó, Luật đã tạo cơ sở pháp lý trực tiếp để Chính phủ chủ động tham gia, thậm chí dẫn dắt sáng kiến quốc tế khi phù hợp. Việc đề xuất và đàm phán một </w:t>
            </w:r>
            <w:r w:rsidRPr="00AA4A03">
              <w:rPr>
                <w:rFonts w:ascii="Times New Roman" w:eastAsia="Times New Roman" w:hAnsi="Times New Roman" w:cs="Times New Roman"/>
                <w:color w:val="000000"/>
                <w:kern w:val="0"/>
                <w:sz w:val="26"/>
                <w:szCs w:val="26"/>
                <w:lang w:val="vi-VN"/>
                <w14:ligatures w14:val="none"/>
              </w:rPr>
              <w:lastRenderedPageBreak/>
              <w:t>công ước quốc tế thuộc thẩm quyền của Chính phủ theo Luật Điều ước quốc tế, nên không cần bổ sung thêm quy định trong Điều 5 để bảo đảm tính thống nhất và tránh trùng lặp trong hệ thống pháp luật.</w:t>
            </w:r>
          </w:p>
        </w:tc>
      </w:tr>
      <w:tr w:rsidR="00B30308" w:rsidRPr="00EE706C" w14:paraId="2F22AC11" w14:textId="77777777" w:rsidTr="00AA4A03">
        <w:trPr>
          <w:trHeight w:val="2016"/>
        </w:trPr>
        <w:tc>
          <w:tcPr>
            <w:tcW w:w="708" w:type="dxa"/>
            <w:tcBorders>
              <w:top w:val="nil"/>
              <w:left w:val="single" w:sz="4" w:space="0" w:color="auto"/>
              <w:bottom w:val="single" w:sz="4" w:space="0" w:color="auto"/>
              <w:right w:val="single" w:sz="4" w:space="0" w:color="auto"/>
            </w:tcBorders>
            <w:hideMark/>
          </w:tcPr>
          <w:p w14:paraId="6C653827"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108</w:t>
            </w:r>
          </w:p>
        </w:tc>
        <w:tc>
          <w:tcPr>
            <w:tcW w:w="2548" w:type="dxa"/>
            <w:tcBorders>
              <w:top w:val="nil"/>
              <w:left w:val="nil"/>
              <w:bottom w:val="single" w:sz="4" w:space="0" w:color="auto"/>
              <w:right w:val="single" w:sz="4" w:space="0" w:color="auto"/>
            </w:tcBorders>
            <w:hideMark/>
          </w:tcPr>
          <w:p w14:paraId="02282F5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Dương Khắc Mai</w:t>
            </w:r>
          </w:p>
        </w:tc>
        <w:tc>
          <w:tcPr>
            <w:tcW w:w="4394" w:type="dxa"/>
            <w:tcBorders>
              <w:top w:val="nil"/>
              <w:left w:val="nil"/>
              <w:bottom w:val="single" w:sz="4" w:space="0" w:color="auto"/>
              <w:right w:val="single" w:sz="4" w:space="0" w:color="auto"/>
            </w:tcBorders>
            <w:hideMark/>
          </w:tcPr>
          <w:p w14:paraId="0D9FD8B6"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Nhấn mạnh tính cần thiết của việc ban hành Luật Trí tuệ nhân tạo để cụ thể hóa Nghị quyết 52 và Nghị quyết 57 của Bộ Chính trị, nhằm bảo đảm năng lực cạnh tranh quốc gia, chủ quyền số và an toàn xã hội. Trích dẫn: “Việc ban hành Luật Trí tuệ nhân tạo tại thời điểm này là hết sức cần thiết nhằm cụ thể hóa Nghị quyết 52 và Nghị quyết 57 của Bộ Chính trị về chủ động tham gia cuộc cách mạng công nghiệp lần thứ tư”.</w:t>
            </w:r>
          </w:p>
          <w:p w14:paraId="5AAC4011" w14:textId="79CECD1D"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Tham gia góp ý để hoàn thiện dự thảo luật.</w:t>
            </w:r>
          </w:p>
        </w:tc>
        <w:tc>
          <w:tcPr>
            <w:tcW w:w="7087" w:type="dxa"/>
            <w:tcBorders>
              <w:top w:val="nil"/>
              <w:left w:val="nil"/>
              <w:bottom w:val="single" w:sz="4" w:space="0" w:color="auto"/>
              <w:right w:val="single" w:sz="4" w:space="0" w:color="auto"/>
            </w:tcBorders>
            <w:hideMark/>
          </w:tcPr>
          <w:p w14:paraId="1D22BFD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Cơ quan soạn thảo trân trọng ghi nhận và cảm ơn sự đồng thuận của Đại biểu. Việc sớm ban hành Luật AI là rất cần thiết để phát triển trí tuệ nhân tạo một cách chủ động, có hệ thống, đồng thời cụ thể hóa các chủ trương của Đảng và Nghị quyết 52, Nghị quyết 57 của Bộ Chính trị. Dự thảo Luật được thiết kế nhằm hài hòa giữa yêu cầu thúc đẩy phát triển mạnh mẽ như kinh nghiệm của Nhật Bản và yêu cầu kiểm soát an toàn ở mức cao hơn cơ bản như kinh nghiệm của Hàn Quốc.</w:t>
            </w:r>
          </w:p>
        </w:tc>
      </w:tr>
      <w:tr w:rsidR="00B30308" w:rsidRPr="00EE706C" w14:paraId="7698578B"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602FE084"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109</w:t>
            </w:r>
          </w:p>
        </w:tc>
        <w:tc>
          <w:tcPr>
            <w:tcW w:w="2548" w:type="dxa"/>
            <w:tcBorders>
              <w:top w:val="nil"/>
              <w:left w:val="nil"/>
              <w:bottom w:val="single" w:sz="4" w:space="0" w:color="auto"/>
              <w:right w:val="single" w:sz="4" w:space="0" w:color="auto"/>
            </w:tcBorders>
            <w:hideMark/>
          </w:tcPr>
          <w:p w14:paraId="27C507B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Dương Khắc Mai</w:t>
            </w:r>
          </w:p>
        </w:tc>
        <w:tc>
          <w:tcPr>
            <w:tcW w:w="4394" w:type="dxa"/>
            <w:tcBorders>
              <w:top w:val="nil"/>
              <w:left w:val="nil"/>
              <w:bottom w:val="single" w:sz="4" w:space="0" w:color="auto"/>
              <w:right w:val="single" w:sz="4" w:space="0" w:color="auto"/>
            </w:tcBorders>
            <w:hideMark/>
          </w:tcPr>
          <w:p w14:paraId="63A81F26"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Góp ý về cơ chế chuyển tiếp đối với hệ thống AI lưỡng dụng (nguồn gốc từ quốc phòng, an ninh, cơ yếu) khi chuyển sang mục đích dân sự. Lo ngại quy định hiện tại (Khoản 2 &amp; 3 Điều 1) chưa làm rõ cơ chế chuyển tiếp và tiềm ẩn nguy cơ lộ lọt dữ liệu/công nghệ lõi. Trích dẫn: "tôi đề nghị cần bổ sung nguyên tắc kiểm soát rủi ro chặt chẽ đối với các hệ thống công nghệ AI có nguồn gốc từ lĩnh vực quốc phòng, an ninh khi chuyển sang mục đích dân sự".</w:t>
            </w:r>
          </w:p>
          <w:p w14:paraId="4CC5B033" w14:textId="42C03B1A"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Cần bổ sung nguyên tắc kiểm soát rủi ro chặt chẽ đối với các hệ thống công nghệ AI có nguồn gốc từ lĩnh vực quốc phòng, an ninh khi chuyển sang mục đích dân sự, tránh nguy cơ bị lợi dụng, lộ lọt dữ liệu và công nghệ lõi.</w:t>
            </w:r>
          </w:p>
        </w:tc>
        <w:tc>
          <w:tcPr>
            <w:tcW w:w="7087" w:type="dxa"/>
            <w:tcBorders>
              <w:top w:val="nil"/>
              <w:left w:val="nil"/>
              <w:bottom w:val="single" w:sz="4" w:space="0" w:color="auto"/>
              <w:right w:val="single" w:sz="4" w:space="0" w:color="auto"/>
            </w:tcBorders>
            <w:hideMark/>
          </w:tcPr>
          <w:p w14:paraId="5705819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Giải trình ý kiến của Đại biểu Quốc hội, Luật AI không điều chỉnh đối với các hệ thống trí tuệ nhân tạo phục vụ mục đích quốc phòng, an ninh và cơ yếu theo quy định tại khoản 2 Điều 1, vì lĩnh vực này thuộc phạm vi quản lý riêng của pháp luật chuyên ngành. Việc quyết định chuyển mục đích sử dụng đối với hệ thống AI lưỡng dụng là trách nhiệm của cơ quan, tổ chức sở hữu hệ thống (doanh nghiệp, Bộ Quốc phòng, Bộ Công an), đồng thời phải bảo đảm tuân thủ đầy đủ quy định về bảo vệ bí mật nhà nước, bí mật công nghệ và an toàn thông tin trong quá trình chuyển giao theo pháp luật hiện hành. Khi hệ thống được đưa vào sử dụng cho mục đích dân sự, hệ thống đó đương nhiên thuộc phạm vi điều chỉnh của Luật AI, bao gồm các nghĩa vụ về an toàn, an ninh, minh bạch, quản lý rủi ro và bảo vệ dữ liệu theo các điều 8–14 của Dự thảo. Cách thiết kế này bảo đảm không tạo khoảng trống pháp lý, đồng thời giữ vững yêu cầu kiểm soát rủi ro và ngăn ngừa nguy cơ lộ lọt dữ liệu, công nghệ lõi như Đại biểu Quốc hội đã nêu.</w:t>
            </w:r>
          </w:p>
        </w:tc>
      </w:tr>
      <w:tr w:rsidR="00B30308" w:rsidRPr="00EE706C" w14:paraId="5095C473"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4D637145"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110</w:t>
            </w:r>
          </w:p>
        </w:tc>
        <w:tc>
          <w:tcPr>
            <w:tcW w:w="2548" w:type="dxa"/>
            <w:tcBorders>
              <w:top w:val="nil"/>
              <w:left w:val="nil"/>
              <w:bottom w:val="single" w:sz="4" w:space="0" w:color="auto"/>
              <w:right w:val="single" w:sz="4" w:space="0" w:color="auto"/>
            </w:tcBorders>
            <w:hideMark/>
          </w:tcPr>
          <w:p w14:paraId="7AFD54F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Dương Khắc Mai</w:t>
            </w:r>
          </w:p>
        </w:tc>
        <w:tc>
          <w:tcPr>
            <w:tcW w:w="4394" w:type="dxa"/>
            <w:tcBorders>
              <w:top w:val="nil"/>
              <w:left w:val="nil"/>
              <w:bottom w:val="single" w:sz="4" w:space="0" w:color="auto"/>
              <w:right w:val="single" w:sz="4" w:space="0" w:color="auto"/>
            </w:tcBorders>
            <w:hideMark/>
          </w:tcPr>
          <w:p w14:paraId="2492E212"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Quan ngại về cơ chế tự phân loại rủi ro của nhà cung cấp đối với hệ thống AI, đặc biệt là rủi ro cao, vì có thể dẫn đến việc đánh giá thấp mức độ rủi ro do lợi ích thương mại. Trích dẫn: "tôi đề nghị đối với hệ thống AI rủi ro cao phải áp dụng cơ chế đánh giá độc lập bắt buộc trước khi đưa ra và vận hành thay vì chỉ dựa vào tự công bố của doanh nghiệp".</w:t>
            </w:r>
          </w:p>
          <w:p w14:paraId="63B2171E" w14:textId="30F43B4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1. Đối với hệ thống AI rủi ro cao, áp dụng cơ chế đánh giá độc lập bắt buộc trước khi đưa ra và vận hành. 2. Bổ sung nghĩa vụ cập nhật lại phân loại rủi ro khi có thay đổi thuật toán, dữ liệu hoặc phạm vi ứng dụng.</w:t>
            </w:r>
          </w:p>
        </w:tc>
        <w:tc>
          <w:tcPr>
            <w:tcW w:w="7087" w:type="dxa"/>
            <w:tcBorders>
              <w:top w:val="nil"/>
              <w:left w:val="nil"/>
              <w:bottom w:val="single" w:sz="4" w:space="0" w:color="auto"/>
              <w:right w:val="single" w:sz="4" w:space="0" w:color="auto"/>
            </w:tcBorders>
            <w:hideMark/>
          </w:tcPr>
          <w:p w14:paraId="422DD681"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Tiếp thu ý kiến của Đại biểu Quốc hội. Ban soạn thảo chia sẻ quan ngại về cơ chế tự phân loại rủi ro và khả năng doanh nghiệp đánh giá thấp mức độ rủi ro để phục vụ mục tiêu thương mại. Cách tiếp cận của Dự thảo Luật tuân theo mô hình “tiếp cận mêm” hài hoà giữa quản lý và thúc đẩy phát triển, đang được OECD và nhiều quốc gia áp dụng: Nhà cung cấp được quyền tự phân loại theo Điều 8, nhưng phải công khai và minh bạch đầy đủ thông tin theo Điều 10, làm cơ sở cho xã hội và cơ quan nhà nước kiểm tra, giám sát. Đối với AI rủi ro cao, Luật không chỉ dựa vào tự phân loại mà quy định nghĩa vụ quản lý rủi ro bắt buộc, đánh giá an toàn, kiểm tra định kỳ và đặc biệt là cơ chế chứng nhận sự phù hợp trước khi đưa vào sử dụng theo Điều 13, bảo đảm hậu kiểm mạnh mẽ của Nhà nước. Ngoài ra, Điều 11 yêu cầu cập nhật lại đánh giá rủi ro và thông tin công khai khi có thay đổi về thuật toán, dữ liệu hoặc phạm vi ứng dụng. Như vậy, Luật đã kết hợp hài hòa giữa tự phân loại và hậu kiểm, bảo đảm linh hoạt nhưng không tạo khoảng trống pháp lý.</w:t>
            </w:r>
          </w:p>
        </w:tc>
      </w:tr>
      <w:tr w:rsidR="00B30308" w:rsidRPr="00EE706C" w14:paraId="766CB366" w14:textId="77777777" w:rsidTr="00AA4A03">
        <w:trPr>
          <w:trHeight w:val="3456"/>
        </w:trPr>
        <w:tc>
          <w:tcPr>
            <w:tcW w:w="708" w:type="dxa"/>
            <w:tcBorders>
              <w:top w:val="nil"/>
              <w:left w:val="single" w:sz="4" w:space="0" w:color="auto"/>
              <w:bottom w:val="single" w:sz="4" w:space="0" w:color="auto"/>
              <w:right w:val="single" w:sz="4" w:space="0" w:color="auto"/>
            </w:tcBorders>
            <w:hideMark/>
          </w:tcPr>
          <w:p w14:paraId="1C9E5216"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111</w:t>
            </w:r>
          </w:p>
        </w:tc>
        <w:tc>
          <w:tcPr>
            <w:tcW w:w="2548" w:type="dxa"/>
            <w:tcBorders>
              <w:top w:val="nil"/>
              <w:left w:val="nil"/>
              <w:bottom w:val="single" w:sz="4" w:space="0" w:color="auto"/>
              <w:right w:val="single" w:sz="4" w:space="0" w:color="auto"/>
            </w:tcBorders>
            <w:hideMark/>
          </w:tcPr>
          <w:p w14:paraId="00BFD57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Dương Khắc Mai</w:t>
            </w:r>
          </w:p>
        </w:tc>
        <w:tc>
          <w:tcPr>
            <w:tcW w:w="4394" w:type="dxa"/>
            <w:tcBorders>
              <w:top w:val="nil"/>
              <w:left w:val="nil"/>
              <w:bottom w:val="single" w:sz="4" w:space="0" w:color="auto"/>
              <w:right w:val="single" w:sz="4" w:space="0" w:color="auto"/>
            </w:tcBorders>
            <w:hideMark/>
          </w:tcPr>
          <w:p w14:paraId="26683E2D"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Nhất trí với trách nhiệm minh bạch (Điều 10) trong bối cảnh deepfake gây khó khăn cho việc nhận diện thật, giả. Đề nghị mở rộng trách nhiệm gắn nhãn. Trích dẫn: "tôi đề nghị bổ sung quy định trách nhiệm gắn nhãn không chỉ dừng lại ở bên kê khai việc triển khai mà cần mở rộng sang trách nhiệm của các nền tảng trung gian phân phối nội dung".</w:t>
            </w:r>
          </w:p>
          <w:p w14:paraId="5A6CBD92" w14:textId="7FF99F7B"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1. Mở rộng trách nhiệm gắn nhãn/thông báo nội dung do AI tạo ra sang các nền tảng trung gian phân phối nội dung. 2. Nghiên cứu bổ sung chế tài đủ mạnh đối với hành vi cố tình che giấu, bóc gỡ nhãn AI để lừa dối công chúng.</w:t>
            </w:r>
          </w:p>
        </w:tc>
        <w:tc>
          <w:tcPr>
            <w:tcW w:w="7087" w:type="dxa"/>
            <w:tcBorders>
              <w:top w:val="nil"/>
              <w:left w:val="nil"/>
              <w:bottom w:val="single" w:sz="4" w:space="0" w:color="auto"/>
              <w:right w:val="single" w:sz="4" w:space="0" w:color="auto"/>
            </w:tcBorders>
            <w:hideMark/>
          </w:tcPr>
          <w:p w14:paraId="18B1829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chia sẻ hoàn toàn quan ngại của Đại biểu về trách nhiệm minh bạch trong bối cảnh deepfake ngày càng tinh vi. Điều 10 của Dự thảo Luật đã quy định nghĩa vụ gắn nhãn và đánh dấu dạng máy đọc đối với nội dung do AI tạo ra, và nghĩa vụ này áp dụng đối với cả Nhà cung cấp và Bên triển khai, không giới hạn ở chủ thể “kê khai”. Đối với kiến nghị mở rộng trách nhiệm sang nền tảng trung gian phân phối nội dung, Ban soạn thảo nhận thấy nội dung này đã được bao quát trong nghĩa vụ của “Bên triển khai hệ thống trí tuệ nhân tạo” tại Điều 10 và trong các quy định chung về trách nhiệm nền tảng theo pháp luật hiện hành về dữ liệu, an ninh mạng và viễn thông; phần chi tiết sẽ được Chính phủ hướng dẫn trong Nghị định và quy chuẩn kỹ thuật để bảo đảm phù hợp với từng loại nền tảng.</w:t>
            </w:r>
            <w:r w:rsidRPr="00AA4A03">
              <w:rPr>
                <w:rFonts w:ascii="Times New Roman" w:eastAsia="Times New Roman" w:hAnsi="Times New Roman" w:cs="Times New Roman"/>
                <w:color w:val="000000"/>
                <w:kern w:val="0"/>
                <w:sz w:val="26"/>
                <w:szCs w:val="26"/>
                <w:lang w:val="vi-VN"/>
                <w14:ligatures w14:val="none"/>
              </w:rPr>
              <w:br/>
              <w:t>Về đề xuất bổ sung chế tài đối với hành vi cố tình che giấu hoặc bóc gỡ nhãn AI, khoản 5 Điều 6 đã nghiêm cấm hành vi “che giấu, tẩy xóa hoặc làm sai lệch thông tin bắt buộc phải công khai, minh bạch”, và Điều 28 quy định trách nhiệm bồi thường khi gây thiệt hại; chế tài xử phạt sẽ được cụ thể hóa tại văn bản dưới luật. Do vậy, các nội dung đề xuất của Đại biểu đã được phản ánh trong Luật, không cần bổ sung quy định mới.</w:t>
            </w:r>
          </w:p>
        </w:tc>
      </w:tr>
      <w:tr w:rsidR="00B30308" w:rsidRPr="00EE706C" w14:paraId="51CABC99"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432B3CB3"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112</w:t>
            </w:r>
          </w:p>
        </w:tc>
        <w:tc>
          <w:tcPr>
            <w:tcW w:w="2548" w:type="dxa"/>
            <w:tcBorders>
              <w:top w:val="nil"/>
              <w:left w:val="nil"/>
              <w:bottom w:val="single" w:sz="4" w:space="0" w:color="auto"/>
              <w:right w:val="single" w:sz="4" w:space="0" w:color="auto"/>
            </w:tcBorders>
            <w:hideMark/>
          </w:tcPr>
          <w:p w14:paraId="6CC4878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Dương Khắc Mai</w:t>
            </w:r>
          </w:p>
        </w:tc>
        <w:tc>
          <w:tcPr>
            <w:tcW w:w="4394" w:type="dxa"/>
            <w:tcBorders>
              <w:top w:val="nil"/>
              <w:left w:val="nil"/>
              <w:bottom w:val="single" w:sz="4" w:space="0" w:color="auto"/>
              <w:right w:val="single" w:sz="4" w:space="0" w:color="auto"/>
            </w:tcBorders>
            <w:hideMark/>
          </w:tcPr>
          <w:p w14:paraId="4A9114F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Ủng hộ quy định về bồi thường thiệt hại tại Điều 28 (bên triển khai bồi thường trước) vì đây là quy định tiến bộ, bảo vệ kịp thời quyền lợi người dân. Tuy nhiên, đề nghị làm rõ tiêu chí miễn trừ trách nhiệm khi hệ thống AI bị tấn công mạng. Trích dẫn: "Tôi đề nghị cần làm rõ hơn tiêu chí xác định thế nào là đã tuân thủ đầy đủ, tránh bị lợi dụng để trốn tránh trách nhiệm, đồng thời phải truy cứu đến cùng trách nhiệm của bên tấn công, chiếm đoạt trái phép".</w:t>
            </w:r>
            <w:r w:rsidRPr="00AA4A03">
              <w:rPr>
                <w:rFonts w:ascii="Times New Roman" w:eastAsia="Times New Roman" w:hAnsi="Times New Roman" w:cs="Times New Roman"/>
                <w:color w:val="000000"/>
                <w:kern w:val="0"/>
                <w:sz w:val="26"/>
                <w:szCs w:val="26"/>
                <w:lang w:val="vi-VN"/>
                <w14:ligatures w14:val="none"/>
              </w:rPr>
              <w:br/>
              <w:t>Đề xuất, kiến nghị: 1. Làm rõ tiêu chí xác định thế nào là "đã tuân thủ đầy đủ yêu cầu an toàn" để được miễn trừ trách nhiệm khi bị tấn công/chiếm quyền. 2. Phải truy cứu đến cùng trách nhiệm của bên thứ ba thực hiện hành vi tấn công, chiếm đoạt trái phép.</w:t>
            </w:r>
          </w:p>
        </w:tc>
        <w:tc>
          <w:tcPr>
            <w:tcW w:w="7087" w:type="dxa"/>
            <w:tcBorders>
              <w:top w:val="nil"/>
              <w:left w:val="nil"/>
              <w:bottom w:val="single" w:sz="4" w:space="0" w:color="auto"/>
              <w:right w:val="single" w:sz="4" w:space="0" w:color="auto"/>
            </w:tcBorders>
            <w:hideMark/>
          </w:tcPr>
          <w:p w14:paraId="3ADE6BE6"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Ban soạn thảo xin làm rõ: khoản 1 và khoản 2 Điều 28 đã quy định nguyên tắc bên triển khai bồi thường trước để bảo đảm quyền lợi người dân. Về tiêu chí miễn trừ trách nhiệm khi hệ thống AI bị tấn công mạng, khoản 3 Điều 28 đã xác định rõ ba trường hợp miễn trừ, trong đó trường hợp liên quan tấn công mạng chỉ áp dụng khi (i) thiệt hại do hành vi tấn công, chiếm quyền trái phép của bên thứ ba và (ii) tổ chức, cá nhân đã tuân thủ đầy đủ yêu cầu bảo đảm an toàn, an ninh theo pháp luật về an toàn thông tin, an ninh mạng và quy định của Luật AI. Quy định này bảo đảm chỉ miễn trừ khi có đủ hai điều kiện nghiêm ngặt, tránh bị lợi dụng để né tránh trách nhiệm. Đồng thời, trách nhiệm của bên tấn công được xử lý theo pháp luật hình sự, an ninh mạng và không thuộc phạm vi miễn trừ. Thiết kế như vậy vừa bảo vệ người dân, vừa phân định rõ trách nhiệm giữa các chủ thể.</w:t>
            </w:r>
          </w:p>
        </w:tc>
      </w:tr>
      <w:tr w:rsidR="00B30308" w:rsidRPr="00EE706C" w14:paraId="2927FB3B" w14:textId="77777777" w:rsidTr="00B56CCF">
        <w:trPr>
          <w:trHeight w:val="1824"/>
        </w:trPr>
        <w:tc>
          <w:tcPr>
            <w:tcW w:w="708" w:type="dxa"/>
            <w:tcBorders>
              <w:top w:val="nil"/>
              <w:left w:val="single" w:sz="4" w:space="0" w:color="auto"/>
              <w:bottom w:val="single" w:sz="4" w:space="0" w:color="auto"/>
              <w:right w:val="single" w:sz="4" w:space="0" w:color="auto"/>
            </w:tcBorders>
            <w:hideMark/>
          </w:tcPr>
          <w:p w14:paraId="69B219F0"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113</w:t>
            </w:r>
          </w:p>
        </w:tc>
        <w:tc>
          <w:tcPr>
            <w:tcW w:w="2548" w:type="dxa"/>
            <w:tcBorders>
              <w:top w:val="nil"/>
              <w:left w:val="nil"/>
              <w:bottom w:val="single" w:sz="4" w:space="0" w:color="auto"/>
              <w:right w:val="single" w:sz="4" w:space="0" w:color="auto"/>
            </w:tcBorders>
            <w:hideMark/>
          </w:tcPr>
          <w:p w14:paraId="7099FCA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Dương Khắc Mai</w:t>
            </w:r>
          </w:p>
        </w:tc>
        <w:tc>
          <w:tcPr>
            <w:tcW w:w="4394" w:type="dxa"/>
            <w:tcBorders>
              <w:top w:val="nil"/>
              <w:left w:val="nil"/>
              <w:bottom w:val="single" w:sz="4" w:space="0" w:color="auto"/>
              <w:right w:val="single" w:sz="4" w:space="0" w:color="auto"/>
            </w:tcBorders>
            <w:hideMark/>
          </w:tcPr>
          <w:p w14:paraId="5E7E852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Nội dung góp ý chính: Đề nghị rà soát kỹ thuật mối quan hệ giữa Luật AI với các luật hiện hành khác nhằm đảm bảo tính thống nhất, tránh chồng chéo hoặc tạo ra khoảng trống pháp lý. Trích dẫn: "Tôi đề nghị cơ quan soạn thảo tiếp tục rà soát kỹ thuật, mối quan hệ với Luật </w:t>
            </w:r>
            <w:r w:rsidRPr="00AA4A03">
              <w:rPr>
                <w:rFonts w:ascii="Times New Roman" w:eastAsia="Times New Roman" w:hAnsi="Times New Roman" w:cs="Times New Roman"/>
                <w:color w:val="000000"/>
                <w:kern w:val="0"/>
                <w:sz w:val="26"/>
                <w:szCs w:val="26"/>
                <w:lang w:val="vi-VN"/>
                <w14:ligatures w14:val="none"/>
              </w:rPr>
              <w:lastRenderedPageBreak/>
              <w:t>An ninh mạng, Luật Bảo vệ dữ liệu cá nhân, Luật Sở hữu trí tuệ, Luật Giao dịch điện tử và các luật có liên quan, bảo đảm không chồng chéo, không mâu thuẫn, không tạo ra khoảng trống pháp lý khi xử lý các vấn đề phát sinh trên thực tế".</w:t>
            </w:r>
            <w:r w:rsidRPr="00AA4A03">
              <w:rPr>
                <w:rFonts w:ascii="Times New Roman" w:eastAsia="Times New Roman" w:hAnsi="Times New Roman" w:cs="Times New Roman"/>
                <w:color w:val="000000"/>
                <w:kern w:val="0"/>
                <w:sz w:val="26"/>
                <w:szCs w:val="26"/>
                <w:lang w:val="vi-VN"/>
                <w14:ligatures w14:val="none"/>
              </w:rPr>
              <w:br/>
              <w:t>Đề xuất, kiến nghị: Rà soát mối quan hệ với Luật An ninh mạng, Luật Bảo vệ dữ liệu cá nhân, Luật Sở hữu trí tuệ, Luật Giao dịch điện tử và các luật có liên quan.</w:t>
            </w:r>
          </w:p>
        </w:tc>
        <w:tc>
          <w:tcPr>
            <w:tcW w:w="7087" w:type="dxa"/>
            <w:tcBorders>
              <w:top w:val="nil"/>
              <w:left w:val="nil"/>
              <w:bottom w:val="single" w:sz="4" w:space="0" w:color="auto"/>
              <w:right w:val="single" w:sz="4" w:space="0" w:color="auto"/>
            </w:tcBorders>
            <w:hideMark/>
          </w:tcPr>
          <w:p w14:paraId="36C73E5A"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ý kiến như sau: Cơ quan soạn thảo đã tiếp thu ý kiến này và khẳng định Dự thảo Luật đã được rà soát kỹ lưỡng để bảo đảm tính thống nhất, đồng bộ với hệ thống pháp luật hiện hành. Luật AI được xây dựng theo mô hình luật khung, chỉ điều chỉnh các vấn đề đặc thù của trí tuệ nhân tạo, đồng thời tuân thủ và không lặp lại các quy định đã thuộc phạm vi của pháp luật chuyên ngành khác. 1. Về việc tránh chồng chéo với Luật </w:t>
            </w:r>
            <w:r w:rsidRPr="00AA4A03">
              <w:rPr>
                <w:rFonts w:ascii="Times New Roman" w:eastAsia="Times New Roman" w:hAnsi="Times New Roman" w:cs="Times New Roman"/>
                <w:color w:val="000000"/>
                <w:kern w:val="0"/>
                <w:sz w:val="26"/>
                <w:szCs w:val="26"/>
                <w:lang w:val="vi-VN"/>
                <w14:ligatures w14:val="none"/>
              </w:rPr>
              <w:lastRenderedPageBreak/>
              <w:t>Công nghiệp công nghệ số: Dự thảo Luật đã bãi bỏ toàn bộ Chương IV về trí tuệ nhân tạo của Luật Công nghiệp công nghệ số tại khoản 1 Điều 33 để bảo đảm không chồng chéo và thống nhất hệ thống pháp luật. 2. Về dữ liệu và bảo vệ dữ liệu cá nhân: Dự thảo Luật quán triệt nguyên tắc tuân thủ pháp luật chuyên ngành. Hoạt động thu thập, xử lý hoặc sử dụng dữ liệu để phát triển, huấn luyện, kiểm thử hoặc vận hành AI bị nghiêm cấm nếu trái với quy định của pháp luật về dữ liệu, bảo vệ dữ liệu cá nhân và quyền riêng tư (khoản 3 Điều 6). Đồng thời, Điều 16 khoản 1 quy định việc tạo lập, quản lý và khai thác cơ sở dữ liệu phục vụ AI phải tuân thủ pháp luật về dữ liệu và bảo vệ dữ liệu cá nhân. 3. Về An ninh mạng: Điều 4 quy định nguyên tắc bảo đảm an toàn hệ thống, an ninh dữ liệu và bảo mật thông tin. Việc kết nối, chia sẻ và khai thác hạ tầng AI phải tuân thủ yêu cầu về an toàn, an ninh và bảo vệ dữ liệu của pháp luật (khoản 4 Điều 15). Các nghĩa vụ chi tiết về an ninh mạng tiếp tục tuân thủ Luật An ninh mạng. 4. Về Sở hữu trí tuệ: Các vấn đề phức tạp liên quan đến quyền sở hữu trí tuệ đối với dữ liệu huấn luyện hoặc sản phẩm do AI tạo ra thuộc phạm vi điều chỉnh của pháp luật sở hữu trí tuệ hiện hành. Luật AI tập trung vào nghĩa vụ an toàn, đạo đức và quản lý rủi ro của hệ thống khi vận hành, không can thiệp sâu vào các cơ chế liên quan đến quyền tác giả, bản quyền. Cách tiếp cận này bảo đảm phân định rõ ràng phạm vi điều chỉnh, không tạo ra khoảng trống pháp lý, đồng thời giữ được tính linh hoạt của luật khung và phù hợp với thông lệ quốc tế.</w:t>
            </w:r>
          </w:p>
        </w:tc>
      </w:tr>
      <w:tr w:rsidR="00B30308" w:rsidRPr="00EE706C" w14:paraId="476B7842"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7DDDDD92"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114</w:t>
            </w:r>
          </w:p>
        </w:tc>
        <w:tc>
          <w:tcPr>
            <w:tcW w:w="2548" w:type="dxa"/>
            <w:tcBorders>
              <w:top w:val="nil"/>
              <w:left w:val="nil"/>
              <w:bottom w:val="single" w:sz="4" w:space="0" w:color="auto"/>
              <w:right w:val="single" w:sz="4" w:space="0" w:color="auto"/>
            </w:tcBorders>
            <w:hideMark/>
          </w:tcPr>
          <w:p w14:paraId="438A33C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Dương Khắc Mai</w:t>
            </w:r>
          </w:p>
        </w:tc>
        <w:tc>
          <w:tcPr>
            <w:tcW w:w="4394" w:type="dxa"/>
            <w:tcBorders>
              <w:top w:val="nil"/>
              <w:left w:val="nil"/>
              <w:bottom w:val="single" w:sz="4" w:space="0" w:color="auto"/>
              <w:right w:val="single" w:sz="4" w:space="0" w:color="auto"/>
            </w:tcBorders>
            <w:hideMark/>
          </w:tcPr>
          <w:p w14:paraId="6398D515"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Lo ngại AI tiềm ẩn những rủi ro có thể mất kiểm soát khi nó phát triển ở trình độ cao. Đề nghị nên có một bộ phận hoặc trung tâm phản ứng nhanh xử lý sự cố AI. Trích dẫn: "Vì vậy tôi đề nghị nên có một bộ phận hoặc là một trung tâm phản ứng nhanh xử lý sự cố AI ở các cấp độ, bộ, ngành, địa phương và cấp quốc gia".</w:t>
            </w:r>
          </w:p>
          <w:p w14:paraId="27F06DEC" w14:textId="17AD04AB"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Thành lập bộ phận/trung tâm phản ứng nhanh xử lý sự cố AI ở cấp độ bộ, ngành, địa phương và cấp quốc gia, với cơ chế phối hợp chặt chẽ do Chính phủ quy định.</w:t>
            </w:r>
          </w:p>
        </w:tc>
        <w:tc>
          <w:tcPr>
            <w:tcW w:w="7087" w:type="dxa"/>
            <w:tcBorders>
              <w:top w:val="nil"/>
              <w:left w:val="nil"/>
              <w:bottom w:val="single" w:sz="4" w:space="0" w:color="auto"/>
              <w:right w:val="single" w:sz="4" w:space="0" w:color="auto"/>
            </w:tcBorders>
            <w:hideMark/>
          </w:tcPr>
          <w:p w14:paraId="4DB5C56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ghi nhận quan ngại của Đại biểu về nguy cơ AI phát triển đến mức khó kiểm soát và nhu cầu có cơ chế phản ứng nhanh khi xảy ra sự cố. Dự thảo Luật đã có quy định đầy đủ về cơ chế phát hiện, cảnh báo và xử lý sự cố tại Điều 11, cũng như nghĩa vụ giám sát, đánh giá rủi ro và khả năng can thiệp của con người trong Điều 10 và Điều 13 đối với hệ thống AI rủi ro cao. Việc thành lập tổ chức chuyên trách, trung tâm phản ứng nhanh hoặc đơn vị điều phối liên ngành là vấn đề thuộc thẩm quyền của Chính phủ theo Luật Tổ chức Chính phủ và pháp luật về tổ chức bộ máy, nên không đặt quy định cứng trong Luật AI để bảo đảm tính linh hoạt. Khi triển khai Luật, nếu thực tiễn yêu cầu, Chính phủ có thể quyết định thành lập hoặc giao nhiệm vụ cho cơ quan hiện có để vận hành cơ chế phản ứng nhanh theo quy định dưới luật.</w:t>
            </w:r>
          </w:p>
        </w:tc>
      </w:tr>
      <w:tr w:rsidR="00B30308" w:rsidRPr="00EE706C" w14:paraId="6535611B" w14:textId="77777777" w:rsidTr="00AA4A03">
        <w:trPr>
          <w:trHeight w:val="1728"/>
        </w:trPr>
        <w:tc>
          <w:tcPr>
            <w:tcW w:w="708" w:type="dxa"/>
            <w:tcBorders>
              <w:top w:val="nil"/>
              <w:left w:val="single" w:sz="4" w:space="0" w:color="auto"/>
              <w:bottom w:val="single" w:sz="4" w:space="0" w:color="auto"/>
              <w:right w:val="single" w:sz="4" w:space="0" w:color="auto"/>
            </w:tcBorders>
            <w:hideMark/>
          </w:tcPr>
          <w:p w14:paraId="00F161B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115</w:t>
            </w:r>
          </w:p>
        </w:tc>
        <w:tc>
          <w:tcPr>
            <w:tcW w:w="2548" w:type="dxa"/>
            <w:tcBorders>
              <w:top w:val="nil"/>
              <w:left w:val="nil"/>
              <w:bottom w:val="single" w:sz="4" w:space="0" w:color="auto"/>
              <w:right w:val="single" w:sz="4" w:space="0" w:color="auto"/>
            </w:tcBorders>
            <w:hideMark/>
          </w:tcPr>
          <w:p w14:paraId="473F1009"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Trịnh Thị Tú Anh (Lâm Đồng)</w:t>
            </w:r>
          </w:p>
        </w:tc>
        <w:tc>
          <w:tcPr>
            <w:tcW w:w="4394" w:type="dxa"/>
            <w:tcBorders>
              <w:top w:val="nil"/>
              <w:left w:val="nil"/>
              <w:bottom w:val="single" w:sz="4" w:space="0" w:color="auto"/>
              <w:right w:val="single" w:sz="4" w:space="0" w:color="auto"/>
            </w:tcBorders>
            <w:hideMark/>
          </w:tcPr>
          <w:p w14:paraId="24DC0E2A"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Đánh giá cao nỗ lực của Chính phủ và Ban soạn thảo trong việc chuẩn bị dự án Luật AI, coi đây là bước đi tiên phong, giúp Việt Nam định vị trên bản đồ số toàn cầu, tạo tâm thế chủ động trong sân chơi công nghệ lớn của thế giới.</w:t>
            </w:r>
          </w:p>
          <w:p w14:paraId="5956FF96" w14:textId="45CEAD52"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N/A (Đánh giá chung)</w:t>
            </w:r>
          </w:p>
        </w:tc>
        <w:tc>
          <w:tcPr>
            <w:tcW w:w="7087" w:type="dxa"/>
            <w:tcBorders>
              <w:top w:val="nil"/>
              <w:left w:val="nil"/>
              <w:bottom w:val="single" w:sz="4" w:space="0" w:color="auto"/>
              <w:right w:val="single" w:sz="4" w:space="0" w:color="auto"/>
            </w:tcBorders>
            <w:hideMark/>
          </w:tcPr>
          <w:p w14:paraId="79980C6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cảm ơn ý kiến đánh giá tích cực của Đại biểu. Việc xây dựng Luật Trí tuệ nhân tạo được xác định là bước đi tiên phong nhằm thiết lập khuôn khổ pháp lý để Việt Nam chủ động nắm bắt cơ hội, quản lý rủi ro và nâng cao năng lực cạnh tranh quốc gia trong kỷ nguyên số. Dự thảo Luật được thiết kế theo hướng hài hòa với chuẩn mực quốc tế, bảo đảm tính khả thi, linh hoạt và tạo điều kiện thuận lợi cho đổi mới sáng tạo, qua đó góp phần đưa Việt Nam trở thành quốc gia có trách nhiệm và vị thế trong lĩnh vực công nghệ mới nổi. Ban soạn thảo xin tiếp thu ý kiến động viên của Đại biểu để tiếp tục hoàn thiện dự án Luật.</w:t>
            </w:r>
          </w:p>
        </w:tc>
      </w:tr>
      <w:tr w:rsidR="00B30308" w:rsidRPr="00EE706C" w14:paraId="38EF0439"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4BDB3EA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116</w:t>
            </w:r>
          </w:p>
        </w:tc>
        <w:tc>
          <w:tcPr>
            <w:tcW w:w="2548" w:type="dxa"/>
            <w:tcBorders>
              <w:top w:val="nil"/>
              <w:left w:val="nil"/>
              <w:bottom w:val="single" w:sz="4" w:space="0" w:color="auto"/>
              <w:right w:val="single" w:sz="4" w:space="0" w:color="auto"/>
            </w:tcBorders>
            <w:hideMark/>
          </w:tcPr>
          <w:p w14:paraId="35001B9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Trịnh Thị Tú Anh (Lâm Đồng)</w:t>
            </w:r>
          </w:p>
        </w:tc>
        <w:tc>
          <w:tcPr>
            <w:tcW w:w="4394" w:type="dxa"/>
            <w:tcBorders>
              <w:top w:val="nil"/>
              <w:left w:val="nil"/>
              <w:bottom w:val="single" w:sz="4" w:space="0" w:color="auto"/>
              <w:right w:val="single" w:sz="4" w:space="0" w:color="auto"/>
            </w:tcBorders>
            <w:hideMark/>
          </w:tcPr>
          <w:p w14:paraId="344B4231" w14:textId="77777777" w:rsidR="00B56CCF"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nghị bổ sung cụm từ "ưu tiên lợi ích của nhóm dễ tổn thương như người cao tuổi, trẻ em, dân tộc thiểu số" vào Nguyên tắc cơ bản để cụ thể hóa việc lấy con người làm trung tâm và tránh phân biệt đối xử ngầm. "Tôi đề nghị bổ sung cụm từ "ưu tiên lợi ích của nhóm dễ tổn thương như người cao tuổi, trẻ em, dân tộc thiểu số" để cụ thể hóa và tránh phân biệt đối xử ngầm theo khuyến cáo của OECD AI Principles và EU AI Act."</w:t>
            </w:r>
          </w:p>
          <w:p w14:paraId="60300251" w14:textId="1D8C8EB4"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Viết lại Khoản 1, Điều 4 như sau: "Lấy con người làm trung tâm, tôn trọng nhân phẩm, quyền con người, quyền riêng tư và bảo đảm lợi ích công cộng, bao gồm việc ưu tiên lợi ích của nhóm dễ bị tổn thương".</w:t>
            </w:r>
          </w:p>
        </w:tc>
        <w:tc>
          <w:tcPr>
            <w:tcW w:w="7087" w:type="dxa"/>
            <w:tcBorders>
              <w:top w:val="nil"/>
              <w:left w:val="nil"/>
              <w:bottom w:val="single" w:sz="4" w:space="0" w:color="auto"/>
              <w:right w:val="single" w:sz="4" w:space="0" w:color="auto"/>
            </w:tcBorders>
            <w:hideMark/>
          </w:tcPr>
          <w:p w14:paraId="2CD5C4AE"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Cơ quan chủ trì soạn thảo xin trả lời ý kiến như sau: Cơ quan soạn thảo tiếp thu tinh thần của đề xuất. Khoản 4 Điều 4 đã quy định nguyên tắc “Bảo đảm công bằng, minh bạch, không thiên lệch, không phân biệt đối xử”. Việc bảo vệ nhóm dễ bị tổn thương, bao gồm trẻ em, người khuyết tật, người nghèo, người dân tộc thiểu số, đã được Luật AI quán triệt thông qua chính sách (Điều 5) và được lồng ghép trong cơ chế quản lý rủi ro tại Chương II (Điều 8–14). Cách tiếp cận này sử dụng khái niệm “nhóm người dễ bị tổn thương” theo thông lệ quốc tế để bao quát đầy đủ đối tượng. Dự thảo Luật đã cấm tuyệt đối việc lợi dụng điểm yếu của nhóm người dễ bị tổn thương để gây tổn hại (Điều 6 khoản 2 điểm c). Do đó, việc bảo vệ nhóm dễ bị tổn thương đã được quy định ở mức độ cao nhất trong Luật AI, cả về nguyên tắc, hành vi bị cấm và cơ chế quản lý rủi ro.</w:t>
            </w:r>
          </w:p>
        </w:tc>
      </w:tr>
      <w:tr w:rsidR="00B30308" w:rsidRPr="00EE706C" w14:paraId="6D9D0C5D" w14:textId="77777777" w:rsidTr="00713763">
        <w:trPr>
          <w:trHeight w:val="690"/>
        </w:trPr>
        <w:tc>
          <w:tcPr>
            <w:tcW w:w="708" w:type="dxa"/>
            <w:tcBorders>
              <w:top w:val="nil"/>
              <w:left w:val="single" w:sz="4" w:space="0" w:color="auto"/>
              <w:bottom w:val="single" w:sz="4" w:space="0" w:color="auto"/>
              <w:right w:val="single" w:sz="4" w:space="0" w:color="auto"/>
            </w:tcBorders>
            <w:hideMark/>
          </w:tcPr>
          <w:p w14:paraId="4481E057"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117</w:t>
            </w:r>
          </w:p>
        </w:tc>
        <w:tc>
          <w:tcPr>
            <w:tcW w:w="2548" w:type="dxa"/>
            <w:tcBorders>
              <w:top w:val="nil"/>
              <w:left w:val="nil"/>
              <w:bottom w:val="single" w:sz="4" w:space="0" w:color="auto"/>
              <w:right w:val="single" w:sz="4" w:space="0" w:color="auto"/>
            </w:tcBorders>
            <w:hideMark/>
          </w:tcPr>
          <w:p w14:paraId="4588371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Trịnh Thị Tú Anh (Lâm Đồng)</w:t>
            </w:r>
          </w:p>
        </w:tc>
        <w:tc>
          <w:tcPr>
            <w:tcW w:w="4394" w:type="dxa"/>
            <w:tcBorders>
              <w:top w:val="nil"/>
              <w:left w:val="nil"/>
              <w:bottom w:val="single" w:sz="4" w:space="0" w:color="auto"/>
              <w:right w:val="single" w:sz="4" w:space="0" w:color="auto"/>
            </w:tcBorders>
            <w:hideMark/>
          </w:tcPr>
          <w:p w14:paraId="0F2E281D" w14:textId="77777777" w:rsidR="00B56CCF" w:rsidRPr="00EE706C" w:rsidRDefault="00B30308" w:rsidP="00AA4A03">
            <w:pPr>
              <w:spacing w:after="0" w:line="240" w:lineRule="auto"/>
              <w:jc w:val="both"/>
              <w:rPr>
                <w:rFonts w:ascii="Times New Roman" w:eastAsia="Times New Roman" w:hAnsi="Times New Roman" w:cs="Times New Roman"/>
                <w:color w:val="000000"/>
                <w:spacing w:val="-2"/>
                <w:kern w:val="0"/>
                <w:sz w:val="26"/>
                <w:szCs w:val="26"/>
                <w:lang w:val="vi-VN"/>
                <w14:ligatures w14:val="none"/>
              </w:rPr>
            </w:pPr>
            <w:r w:rsidRPr="00713763">
              <w:rPr>
                <w:rFonts w:ascii="Times New Roman" w:eastAsia="Times New Roman" w:hAnsi="Times New Roman" w:cs="Times New Roman"/>
                <w:color w:val="000000"/>
                <w:spacing w:val="-2"/>
                <w:kern w:val="0"/>
                <w:sz w:val="26"/>
                <w:szCs w:val="26"/>
                <w:lang w:val="vi-VN"/>
                <w14:ligatures w14:val="none"/>
              </w:rPr>
              <w:t>Nội dung góp ý chính: Việc AI được sử dụng để hỗ trợ ra quyết định hành chính (trong hoạt động quản lý và dịch vụ công) đòi hỏi phải có cơ chế giải trình phù hợp nhằm bảo vệ quyền lợi hợp pháp của người dân.</w:t>
            </w:r>
          </w:p>
          <w:p w14:paraId="15B5F36D" w14:textId="4E723A29" w:rsidR="00B30308" w:rsidRPr="00713763" w:rsidRDefault="00B30308" w:rsidP="00AA4A03">
            <w:pPr>
              <w:spacing w:after="0" w:line="240" w:lineRule="auto"/>
              <w:jc w:val="both"/>
              <w:rPr>
                <w:rFonts w:ascii="Times New Roman" w:eastAsia="Times New Roman" w:hAnsi="Times New Roman" w:cs="Times New Roman"/>
                <w:color w:val="000000"/>
                <w:spacing w:val="-2"/>
                <w:kern w:val="0"/>
                <w:sz w:val="26"/>
                <w:szCs w:val="26"/>
                <w:lang w:val="vi-VN"/>
                <w14:ligatures w14:val="none"/>
              </w:rPr>
            </w:pPr>
            <w:r w:rsidRPr="00713763">
              <w:rPr>
                <w:rFonts w:ascii="Times New Roman" w:eastAsia="Times New Roman" w:hAnsi="Times New Roman" w:cs="Times New Roman"/>
                <w:color w:val="000000"/>
                <w:spacing w:val="-2"/>
                <w:kern w:val="0"/>
                <w:sz w:val="26"/>
                <w:szCs w:val="26"/>
                <w:lang w:val="vi-VN"/>
                <w14:ligatures w14:val="none"/>
              </w:rPr>
              <w:t xml:space="preserve">Đề xuất, kiến nghị: Đề xuất bổ sung cụm từ "đồng thời thiết lập cơ chế giải trình và bảo đảm trách nhiệm đối với các quyết </w:t>
            </w:r>
            <w:r w:rsidRPr="00713763">
              <w:rPr>
                <w:rFonts w:ascii="Times New Roman" w:eastAsia="Times New Roman" w:hAnsi="Times New Roman" w:cs="Times New Roman"/>
                <w:color w:val="000000"/>
                <w:spacing w:val="-2"/>
                <w:kern w:val="0"/>
                <w:sz w:val="26"/>
                <w:szCs w:val="26"/>
                <w:lang w:val="vi-VN"/>
                <w14:ligatures w14:val="none"/>
              </w:rPr>
              <w:lastRenderedPageBreak/>
              <w:t>định hành chính có sự hỗ trợ của hệ thống trí tuệ nhân tạo" vào cuối khoản 5.</w:t>
            </w:r>
          </w:p>
        </w:tc>
        <w:tc>
          <w:tcPr>
            <w:tcW w:w="7087" w:type="dxa"/>
            <w:tcBorders>
              <w:top w:val="nil"/>
              <w:left w:val="nil"/>
              <w:bottom w:val="single" w:sz="4" w:space="0" w:color="auto"/>
              <w:right w:val="single" w:sz="4" w:space="0" w:color="auto"/>
            </w:tcBorders>
            <w:hideMark/>
          </w:tcPr>
          <w:p w14:paraId="00486B6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Giải trình ý kiến của Đại biểu, Ban soạn thảo đã rà soát và khẳng định nội dung yêu cầu cơ chế giải trình và bảo đảm trách nhiệm khi sử dụng AI hỗ trợ ra quyết định hành chính đã được quy định riêng tại Điều 26 của Dự thảo Luật, trong đó nêu rõ nghĩa vụ minh bạch, giải trình, trách nhiệm của chủ thể ra quyết định và yêu cầu thực hiện đánh giá tác động trước khi áp dụng hệ thống AI vào quyết định hành chính. Vì vậy, không cần quy định nội dung này vào khoản 5 Điều 5 để tránh trùng lặp và giữ Điều 5 ở mức chính sách khung.</w:t>
            </w:r>
          </w:p>
        </w:tc>
      </w:tr>
      <w:tr w:rsidR="00B30308" w:rsidRPr="00EE706C" w14:paraId="6E8DC41B"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3CF04C10"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118</w:t>
            </w:r>
          </w:p>
        </w:tc>
        <w:tc>
          <w:tcPr>
            <w:tcW w:w="2548" w:type="dxa"/>
            <w:tcBorders>
              <w:top w:val="nil"/>
              <w:left w:val="nil"/>
              <w:bottom w:val="single" w:sz="4" w:space="0" w:color="auto"/>
              <w:right w:val="single" w:sz="4" w:space="0" w:color="auto"/>
            </w:tcBorders>
            <w:hideMark/>
          </w:tcPr>
          <w:p w14:paraId="69A2DA7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Trịnh Thị Tú Anh (Lâm Đồng)</w:t>
            </w:r>
          </w:p>
        </w:tc>
        <w:tc>
          <w:tcPr>
            <w:tcW w:w="4394" w:type="dxa"/>
            <w:tcBorders>
              <w:top w:val="nil"/>
              <w:left w:val="nil"/>
              <w:bottom w:val="single" w:sz="4" w:space="0" w:color="auto"/>
              <w:right w:val="single" w:sz="4" w:space="0" w:color="auto"/>
            </w:tcBorders>
            <w:hideMark/>
          </w:tcPr>
          <w:p w14:paraId="1B1AA38E" w14:textId="77777777" w:rsidR="0071376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Việc thúc đẩy ứng dụng AI (Khoản 7) tất yếu dẫn đến nguy cơ thay thế một lượng lớn lao động, đồng thời tác động tới các lĩnh vực nhạy cảm như giáo dục, y tế, an sinh xã hội và khả năng tiếp cận công nghệ của các nhóm yếu thế.</w:t>
            </w:r>
          </w:p>
          <w:p w14:paraId="27A36969" w14:textId="572755FD"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Bổ sung chính sách hỗ trợ thích ứng mang tính hệ thống; viết lại Khoản 7 bao gồm nội dung xây dựng chính sách hỗ trợ chuyển đổi số, đào tạo lại kỹ năng, đảm bảo an sinh xã hội và thu hẹp khoảng cách số.</w:t>
            </w:r>
          </w:p>
        </w:tc>
        <w:tc>
          <w:tcPr>
            <w:tcW w:w="7087" w:type="dxa"/>
            <w:tcBorders>
              <w:top w:val="nil"/>
              <w:left w:val="nil"/>
              <w:bottom w:val="single" w:sz="4" w:space="0" w:color="auto"/>
              <w:right w:val="single" w:sz="4" w:space="0" w:color="auto"/>
            </w:tcBorders>
            <w:hideMark/>
          </w:tcPr>
          <w:p w14:paraId="430FAFBF"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thống nhất rằng việc thúc đẩy ứng dụng trí tuệ nhân tạo có thể tác động đến thị trường lao động và các lĩnh vực nhạy cảm như giáo dục, y tế, an sinh xã hội; do đó Nhà nước cần có chính sách hỗ trợ thích ứng. Các nội dung này đã được dự thảo Luật thể hiện tại Điều 22 về phát triển nhân lực, bao gồm đào tạo, đào tạo lại và bồi dưỡng kỹ năng số, và tại Điều 4 về nguyên tắc phát triển bao trùm, bảo vệ nhóm yếu thế và thu hẹp khoảng cách số. Do Điều 5 là chính sách khung, không liệt kê các chính sách chi tiết về an sinh xã hội và chuyển đổi nghề—là nội dung thuộc phạm vi điều chỉnh của pháp luật lao động, giáo dục nghề nghiệp và an sinh—nên không sửa đổi toàn diện Khoản 7. Các chính sách hỗ trợ thích ứng mang tính hệ thống sẽ được Chính phủ cụ thể hóa trong chiến lược, chương trình phát triển nhân lực số và chuyển đổi việc làm quốc gia, bảo đảm đáp ứng đề xuất của Đại biểu theo đúng thẩm quyền và cấu trúc của hệ thống pháp luật.</w:t>
            </w:r>
          </w:p>
        </w:tc>
      </w:tr>
      <w:tr w:rsidR="00B30308" w:rsidRPr="00EE706C" w14:paraId="3CADCC7E"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4FA9293B"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119</w:t>
            </w:r>
          </w:p>
        </w:tc>
        <w:tc>
          <w:tcPr>
            <w:tcW w:w="2548" w:type="dxa"/>
            <w:tcBorders>
              <w:top w:val="nil"/>
              <w:left w:val="nil"/>
              <w:bottom w:val="single" w:sz="4" w:space="0" w:color="auto"/>
              <w:right w:val="single" w:sz="4" w:space="0" w:color="auto"/>
            </w:tcBorders>
            <w:hideMark/>
          </w:tcPr>
          <w:p w14:paraId="279FAC2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Trịnh Thị Tú Anh (Lâm Đồng)</w:t>
            </w:r>
          </w:p>
        </w:tc>
        <w:tc>
          <w:tcPr>
            <w:tcW w:w="4394" w:type="dxa"/>
            <w:tcBorders>
              <w:top w:val="nil"/>
              <w:left w:val="nil"/>
              <w:bottom w:val="single" w:sz="4" w:space="0" w:color="auto"/>
              <w:right w:val="single" w:sz="4" w:space="0" w:color="auto"/>
            </w:tcBorders>
            <w:hideMark/>
          </w:tcPr>
          <w:p w14:paraId="339C2757"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Băn khoăn về tính khả thi kỹ thuật của việc đánh dấu Deepfake/nội dung do AI tạo ra. Nếu thiếu tiêu chuẩn kỹ thuật chung, hệ thống nhận diện AI không thể hoạt động, và các mô hình mã nguồn mở có thể dễ dàng bị can thiệp để gỡ bỏ dấu hiệu. "Nếu mỗi nền tảng áp dụng một công nghệ đánh dấu khác nhau, hệ thống nhận diện AI sẽ không thể hoạt động."</w:t>
            </w:r>
            <w:r w:rsidRPr="00AA4A03">
              <w:rPr>
                <w:rFonts w:ascii="Times New Roman" w:eastAsia="Times New Roman" w:hAnsi="Times New Roman" w:cs="Times New Roman"/>
                <w:color w:val="000000"/>
                <w:kern w:val="0"/>
                <w:sz w:val="26"/>
                <w:szCs w:val="26"/>
                <w:lang w:val="vi-VN"/>
                <w14:ligatures w14:val="none"/>
              </w:rPr>
              <w:br/>
              <w:t>Đề xuất, kiến nghị: Đề nghị bổ sung nguyên tắc: Tiêu chuẩn kỹ thuật phải hài hòa, tương thích với bộ tiêu chuẩn chung được thừa nhận quốc tế nhằm tạo tính kết nối, liên thông dữ liệu và hiệu quả quản lý.</w:t>
            </w:r>
          </w:p>
        </w:tc>
        <w:tc>
          <w:tcPr>
            <w:tcW w:w="7087" w:type="dxa"/>
            <w:tcBorders>
              <w:top w:val="nil"/>
              <w:left w:val="nil"/>
              <w:bottom w:val="single" w:sz="4" w:space="0" w:color="auto"/>
              <w:right w:val="single" w:sz="4" w:space="0" w:color="auto"/>
            </w:tcBorders>
            <w:hideMark/>
          </w:tcPr>
          <w:p w14:paraId="089DFFEA" w14:textId="73FB25E4"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Ban soạn thảo hoàn toàn chia sẻ băn khoăn của Đại biểu về tính tương thích kỹ thuật trong việc đánh dấu nội dung do AI tạo ra và nguy cơ mỗi nền tảng áp dụng một công nghệ gắn nhãn khác nhau. Tuy nhiên, việc bổ sung nguyên tắc về “hài hòa tiêu chuẩn quốc tế” vào Điều 10 là không cần thiết, vì Điều 31 của Dự thảo Luật đã quy định rõ Nhà nước khuyến khích và ưu tiên áp dụng tiêu chuẩn quốc gia, tiêu chuẩn quốc tế và tiêu chuẩn khu vực trong quản lý và vận hành hệ thống trí tuệ nhân tạo. Trên cơ sở Điều 31, các yêu cầu về tương thích kỹ thuật, tiêu chuẩn đánh dấu, định dạng gắn nhãn và cơ chế liên thông sẽ được Chính phủ quy định chi tiết tại Nghị định và quy chuẩn kỹ thuật quốc gia, bảo đảm tính thống nhất, kết nối liên nền tảng và phù hợp thông lệ quốc tế. Do đó, đề xuất của Đại biểu đã được bao quát trong khung chính sách hiện hành của Dự thảo Luật, không cần bổ sung thêm vào Điều 10.</w:t>
            </w:r>
          </w:p>
        </w:tc>
      </w:tr>
      <w:tr w:rsidR="00B30308" w:rsidRPr="00EE706C" w14:paraId="4D6672B3" w14:textId="77777777" w:rsidTr="00713763">
        <w:trPr>
          <w:trHeight w:val="1824"/>
        </w:trPr>
        <w:tc>
          <w:tcPr>
            <w:tcW w:w="708" w:type="dxa"/>
            <w:tcBorders>
              <w:top w:val="nil"/>
              <w:left w:val="single" w:sz="4" w:space="0" w:color="auto"/>
              <w:bottom w:val="single" w:sz="4" w:space="0" w:color="auto"/>
              <w:right w:val="single" w:sz="4" w:space="0" w:color="auto"/>
            </w:tcBorders>
            <w:hideMark/>
          </w:tcPr>
          <w:p w14:paraId="728AC22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120</w:t>
            </w:r>
          </w:p>
        </w:tc>
        <w:tc>
          <w:tcPr>
            <w:tcW w:w="2548" w:type="dxa"/>
            <w:tcBorders>
              <w:top w:val="nil"/>
              <w:left w:val="nil"/>
              <w:bottom w:val="single" w:sz="4" w:space="0" w:color="auto"/>
              <w:right w:val="single" w:sz="4" w:space="0" w:color="auto"/>
            </w:tcBorders>
            <w:hideMark/>
          </w:tcPr>
          <w:p w14:paraId="504858B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Trịnh Thị Tú Anh (Lâm Đồng)</w:t>
            </w:r>
          </w:p>
        </w:tc>
        <w:tc>
          <w:tcPr>
            <w:tcW w:w="4394" w:type="dxa"/>
            <w:tcBorders>
              <w:top w:val="nil"/>
              <w:left w:val="nil"/>
              <w:bottom w:val="single" w:sz="4" w:space="0" w:color="auto"/>
              <w:right w:val="single" w:sz="4" w:space="0" w:color="auto"/>
            </w:tcBorders>
            <w:hideMark/>
          </w:tcPr>
          <w:p w14:paraId="027F736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nghị làm rõ khái niệm "cố ý vi phạm" trong Cơ chế thử nghiệm có kiểm soát (Sandbox). Do tính chất hộp đen (Blackbox) của thuật toán, có những trường hợp AI tự đưa ra quyết định sai lệch mà nhà phát triển không thể lường trước, đây là rủi ro công nghệ, không phải ý chí chủ quan.</w:t>
            </w:r>
            <w:r w:rsidRPr="00AA4A03">
              <w:rPr>
                <w:rFonts w:ascii="Times New Roman" w:eastAsia="Times New Roman" w:hAnsi="Times New Roman" w:cs="Times New Roman"/>
                <w:color w:val="000000"/>
                <w:kern w:val="0"/>
                <w:sz w:val="26"/>
                <w:szCs w:val="26"/>
                <w:lang w:val="vi-VN"/>
                <w14:ligatures w14:val="none"/>
              </w:rPr>
              <w:br/>
              <w:t xml:space="preserve">Đề xuất, kiến nghị: Bổ sung quy định miễn trừ: Các sự cố phát sinh do lỗi kỹ thuật chưa lường trước hoặc do tính chất </w:t>
            </w:r>
            <w:r w:rsidRPr="00AA4A03">
              <w:rPr>
                <w:rFonts w:ascii="Times New Roman" w:eastAsia="Times New Roman" w:hAnsi="Times New Roman" w:cs="Times New Roman"/>
                <w:color w:val="000000"/>
                <w:kern w:val="0"/>
                <w:sz w:val="26"/>
                <w:szCs w:val="26"/>
                <w:lang w:val="vi-VN"/>
                <w14:ligatures w14:val="none"/>
              </w:rPr>
              <w:lastRenderedPageBreak/>
              <w:t>bất định của thuật toán trong quá trình thử nghiệm, nếu doanh nghiệp đã tuân thủ đúng quy trình an toàn thì không bị coi là hành vi cố ý vi phạm.</w:t>
            </w:r>
          </w:p>
        </w:tc>
        <w:tc>
          <w:tcPr>
            <w:tcW w:w="7087" w:type="dxa"/>
            <w:tcBorders>
              <w:top w:val="nil"/>
              <w:left w:val="nil"/>
              <w:bottom w:val="single" w:sz="4" w:space="0" w:color="auto"/>
              <w:right w:val="single" w:sz="4" w:space="0" w:color="auto"/>
            </w:tcBorders>
            <w:hideMark/>
          </w:tcPr>
          <w:p w14:paraId="6E7B7FA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lastRenderedPageBreak/>
              <w:t xml:space="preserve">Cơ quan chủ trì soạn thảo xin trả lời ý kiến như sau: Giải trình ý kiến của Đại biểu Quốc hội. Ban soạn thảo nhận thấy việc phân định giữa lỗi kỹ thuật, rủi ro công nghệ và hành vi cố ý vi phạm là cần thiết để khuyến khích đổi mới sáng tạo, đặc biệt trong Cơ chế thử nghiệm. Mặc dù Luật không định nghĩa trực tiếp "cố ý vi phạm," các quy định về trách nhiệm đã phân định rõ: Điều 20 khoản 3 yêu cầu tổ chức thử nghiệm phải có đánh giá và biện pháp quản lý rủi ro. Nếu doanh nghiệp tuân thủ đầy đủ các yêu cầu này và các nghĩa vụ quản lý rủi ro theo Điều 13, sự cố phát sinh do tính bất định của thuật toán sẽ được xem xét theo nguyên tắc bồi thường không do lỗi đối với hệ thống rủi ro cao (Điều 28, khoản 3), hoặc </w:t>
            </w:r>
            <w:r w:rsidRPr="00AA4A03">
              <w:rPr>
                <w:rFonts w:ascii="Times New Roman" w:eastAsia="Times New Roman" w:hAnsi="Times New Roman" w:cs="Times New Roman"/>
                <w:color w:val="000000"/>
                <w:kern w:val="0"/>
                <w:sz w:val="26"/>
                <w:szCs w:val="26"/>
                <w:lang w:val="vi-VN"/>
                <w14:ligatures w14:val="none"/>
              </w:rPr>
              <w:lastRenderedPageBreak/>
              <w:t>được miễn trừ trách nhiệm nếu thuộc trường hợp bất khả kháng theo quy định tại Điều 28 khoản 3 điểm b. Việc xử lý hành vi "cố ý vi phạm" sẽ được quy định chi tiết trong văn bản hướng dẫn của Chính phủ để bảo đảm tính linh hoạt và phù hợp với thực tiễn công nghệ, đồng thời không xem xét lỗi kỹ thuật, không thể lường trước là hành vi cố ý khi chủ thể đã tuân thủ đúng quy trình an toàn.</w:t>
            </w:r>
          </w:p>
        </w:tc>
      </w:tr>
      <w:tr w:rsidR="00B30308" w:rsidRPr="00EE706C" w14:paraId="3D652FF9" w14:textId="77777777" w:rsidTr="00AA4A03">
        <w:trPr>
          <w:trHeight w:val="2880"/>
        </w:trPr>
        <w:tc>
          <w:tcPr>
            <w:tcW w:w="708" w:type="dxa"/>
            <w:tcBorders>
              <w:top w:val="nil"/>
              <w:left w:val="single" w:sz="4" w:space="0" w:color="auto"/>
              <w:bottom w:val="single" w:sz="4" w:space="0" w:color="auto"/>
              <w:right w:val="single" w:sz="4" w:space="0" w:color="auto"/>
            </w:tcBorders>
            <w:hideMark/>
          </w:tcPr>
          <w:p w14:paraId="6E4B1CB5"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121</w:t>
            </w:r>
          </w:p>
        </w:tc>
        <w:tc>
          <w:tcPr>
            <w:tcW w:w="2548" w:type="dxa"/>
            <w:tcBorders>
              <w:top w:val="nil"/>
              <w:left w:val="nil"/>
              <w:bottom w:val="single" w:sz="4" w:space="0" w:color="auto"/>
              <w:right w:val="single" w:sz="4" w:space="0" w:color="auto"/>
            </w:tcBorders>
            <w:hideMark/>
          </w:tcPr>
          <w:p w14:paraId="52994A3B"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Bế Trung Anh - Vĩnh Long</w:t>
            </w:r>
          </w:p>
        </w:tc>
        <w:tc>
          <w:tcPr>
            <w:tcW w:w="4394" w:type="dxa"/>
            <w:tcBorders>
              <w:top w:val="nil"/>
              <w:left w:val="nil"/>
              <w:bottom w:val="single" w:sz="4" w:space="0" w:color="auto"/>
              <w:right w:val="single" w:sz="4" w:space="0" w:color="auto"/>
            </w:tcBorders>
            <w:hideMark/>
          </w:tcPr>
          <w:p w14:paraId="6E810C8E" w14:textId="77777777" w:rsidR="0071376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Phê phán triết lý quản trị AI trong dự thảo đang sử dụng "phương thức quản trị cũ để quản trị một công nghệ của thế kỷ thứ 21". Dự thảo quản trị AI như quản trị một người xin cấp phép (hồ sơ tiền kiểm, thẩm định, phê duyệt) chứ không phải mô hình học sâu. Đại biểu nhận định: "Điều này có lẽ cũng giống như chúng ta yêu cầu một đứa trẻ phải chứng minh rằng sẽ phải ngoan suốt đời trước khi được đi học mẫu giáo".</w:t>
            </w:r>
          </w:p>
          <w:p w14:paraId="5DC1AAA6" w14:textId="3037FA10"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Thay đổi triết lý quản trị nhà nước về AI để phù hợp với nguyên lý khoa học, theo đó, an toàn là nhờ giám sát liên tục (continuous monitoring), kiểm nghiệm liên tục, và đánh giá dữ liệu trên thời gian thực.</w:t>
            </w:r>
          </w:p>
        </w:tc>
        <w:tc>
          <w:tcPr>
            <w:tcW w:w="7087" w:type="dxa"/>
            <w:tcBorders>
              <w:top w:val="nil"/>
              <w:left w:val="nil"/>
              <w:bottom w:val="single" w:sz="4" w:space="0" w:color="auto"/>
              <w:right w:val="single" w:sz="4" w:space="0" w:color="auto"/>
            </w:tcBorders>
            <w:hideMark/>
          </w:tcPr>
          <w:p w14:paraId="69BC8DC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xin báo cáo như sau: Ý kiến của Đại biểu rất đáng lưu ý; tuy nhiên, dự thảo Luật AI Vkhông sử dụng mô hình quản trị “cũ” dựa trên tiền kiểm hồ sơ, mà sử dụng cách tiếp cận hiện đại dựa trên quản lý theo mức độ rủi ro, giám sát vòng đời và theo dõi liên tục. Các quy định tại Điều 10 (minh bạch), Điều 11 (giám sát – xử lý sự cố), Điều 13 (quản lý rủi ro đối với AI rủi ro cao) đều yêu cầu chủ thể triển khai thực hiện giám sát liên tục, ghi nhận hoạt động, kiểm soát hành vi lệch chuẩn và can thiệp kịp thời – hoàn toàn phù hợp với mô hình quản trị “dynamic/continuous monitoring” mà Đại biểu đề xuất. Tiền kiểm chỉ áp dụng một phần và chỉ đối với nhóm AI rủi ro cao bắt buộc chứng nhận sự phù hợp, còn lại là hậu kiểm, giám sát theo thời gian thực và cơ chế cảnh báo. Thiết kế này phản ánh đúng thông lệ OECD/EU, bảo đảm an toàn nhưng không cản trở đổi mới sáng tạo. Do đó, đề xuất của Đại biểu đã được thể hiện đầy đủ trong Luật, không cần thay đổi triết lý quản trị.</w:t>
            </w:r>
          </w:p>
        </w:tc>
      </w:tr>
      <w:tr w:rsidR="00B30308" w:rsidRPr="00EE706C" w14:paraId="72A21FB5" w14:textId="77777777" w:rsidTr="00AA4A03">
        <w:trPr>
          <w:trHeight w:val="3168"/>
        </w:trPr>
        <w:tc>
          <w:tcPr>
            <w:tcW w:w="708" w:type="dxa"/>
            <w:tcBorders>
              <w:top w:val="nil"/>
              <w:left w:val="single" w:sz="4" w:space="0" w:color="auto"/>
              <w:bottom w:val="single" w:sz="4" w:space="0" w:color="auto"/>
              <w:right w:val="single" w:sz="4" w:space="0" w:color="auto"/>
            </w:tcBorders>
            <w:hideMark/>
          </w:tcPr>
          <w:p w14:paraId="6DEE4B1E"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122</w:t>
            </w:r>
          </w:p>
        </w:tc>
        <w:tc>
          <w:tcPr>
            <w:tcW w:w="2548" w:type="dxa"/>
            <w:tcBorders>
              <w:top w:val="nil"/>
              <w:left w:val="nil"/>
              <w:bottom w:val="single" w:sz="4" w:space="0" w:color="auto"/>
              <w:right w:val="single" w:sz="4" w:space="0" w:color="auto"/>
            </w:tcBorders>
            <w:hideMark/>
          </w:tcPr>
          <w:p w14:paraId="69C4B66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Bế Trung Anh - Vĩnh Long</w:t>
            </w:r>
          </w:p>
        </w:tc>
        <w:tc>
          <w:tcPr>
            <w:tcW w:w="4394" w:type="dxa"/>
            <w:tcBorders>
              <w:top w:val="nil"/>
              <w:left w:val="nil"/>
              <w:bottom w:val="single" w:sz="4" w:space="0" w:color="auto"/>
              <w:right w:val="single" w:sz="4" w:space="0" w:color="auto"/>
            </w:tcBorders>
            <w:hideMark/>
          </w:tcPr>
          <w:p w14:paraId="704715C9" w14:textId="77777777" w:rsidR="0071376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Kiến nghị chuyển đổi cơ chế quản lý AI rủi ro cao từ tiền kiểm bắt buộc sang triển khai có điều kiện và giám sát trong vận hành.</w:t>
            </w:r>
          </w:p>
          <w:p w14:paraId="3A95AA70" w14:textId="25C0CB61"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Cho phép hệ thống AI rủi ro cao được triển khai có điều kiện, "được vận hành ngay sau khi đăng ký, đánh giá sự phù hợp thực hiện trong quá trình vận hành dựa trên dữ liệu thực". Điều này giúp mở đường băng cho đổi mới và giảm các thủ tục.</w:t>
            </w:r>
          </w:p>
        </w:tc>
        <w:tc>
          <w:tcPr>
            <w:tcW w:w="7087" w:type="dxa"/>
            <w:tcBorders>
              <w:top w:val="nil"/>
              <w:left w:val="nil"/>
              <w:bottom w:val="single" w:sz="4" w:space="0" w:color="auto"/>
              <w:right w:val="single" w:sz="4" w:space="0" w:color="auto"/>
            </w:tcBorders>
            <w:hideMark/>
          </w:tcPr>
          <w:p w14:paraId="03CEE48F" w14:textId="77777777" w:rsidR="0071376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Giải trình ý kiến của Đại biểu Quốc hội. Ban soạn thảo báo cáo về cơ chế “triển khai có điều kiện và giám sát trong vận hành” đối với hệ thống AI rủi ro cao. Thiết kế của Dự thảo Luật, AI rủi ro cao gồm hai hình thức:</w:t>
            </w:r>
          </w:p>
          <w:p w14:paraId="4A1C81CF" w14:textId="11332905" w:rsidR="0071376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(1) Hệ thống thuộc danh mục bắt buộc đánh giá an toàn, chứng nhận sự phù hợp trước khi đưa vào sử dụng (tiền kiểm bắt buộc), và</w:t>
            </w:r>
            <w:r w:rsidR="00713763" w:rsidRPr="00EE706C">
              <w:rPr>
                <w:rFonts w:ascii="Times New Roman" w:eastAsia="Times New Roman" w:hAnsi="Times New Roman" w:cs="Times New Roman"/>
                <w:color w:val="000000"/>
                <w:kern w:val="0"/>
                <w:sz w:val="26"/>
                <w:szCs w:val="26"/>
                <w:lang w:val="vi-VN"/>
                <w14:ligatures w14:val="none"/>
              </w:rPr>
              <w:t xml:space="preserve"> </w:t>
            </w:r>
            <w:r w:rsidRPr="00AA4A03">
              <w:rPr>
                <w:rFonts w:ascii="Times New Roman" w:eastAsia="Times New Roman" w:hAnsi="Times New Roman" w:cs="Times New Roman"/>
                <w:color w:val="000000"/>
                <w:kern w:val="0"/>
                <w:sz w:val="26"/>
                <w:szCs w:val="26"/>
                <w:lang w:val="vi-VN"/>
                <w14:ligatures w14:val="none"/>
              </w:rPr>
              <w:t>(2) Hệ thống không thuộc diện chứng nhận nhưng phải tuân thủ đầy đủ nghĩa vụ quản lý rủi ro, giám sát và minh bạch trong vận hành (hậu kiểm tăng cường).</w:t>
            </w:r>
          </w:p>
          <w:p w14:paraId="1AB8668D" w14:textId="5D315F29"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Đối với nhóm (1), việc cho phép vận hành ngay sau khi đăng ký sẽ tạo khoảng trống rủi ro lớn, đặc biệt trong y tế, tư pháp, tài chính, hạ tầng thiết yếu, nên không thể áp dụng “triển khai ngay”. Đối với nhóm (2), cơ chế của Luật đã cho phép vận hành ngay và giám sát dựa trên dữ liệu thực theo Điều 13, bảo đảm linh hoạt và không cản trở đổi mới. Sự phân tách hai hình thức này giúp cân bằng giữa an toàn và đổi mới sáng tạo, phù hợp thông lệ quốc tế.</w:t>
            </w:r>
          </w:p>
        </w:tc>
      </w:tr>
      <w:tr w:rsidR="00B30308" w:rsidRPr="00EE706C" w14:paraId="3E0F9430" w14:textId="77777777" w:rsidTr="00713763">
        <w:trPr>
          <w:trHeight w:val="690"/>
        </w:trPr>
        <w:tc>
          <w:tcPr>
            <w:tcW w:w="708" w:type="dxa"/>
            <w:tcBorders>
              <w:top w:val="nil"/>
              <w:left w:val="single" w:sz="4" w:space="0" w:color="auto"/>
              <w:bottom w:val="single" w:sz="4" w:space="0" w:color="auto"/>
              <w:right w:val="single" w:sz="4" w:space="0" w:color="auto"/>
            </w:tcBorders>
            <w:hideMark/>
          </w:tcPr>
          <w:p w14:paraId="50A768E0"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123</w:t>
            </w:r>
          </w:p>
        </w:tc>
        <w:tc>
          <w:tcPr>
            <w:tcW w:w="2548" w:type="dxa"/>
            <w:tcBorders>
              <w:top w:val="nil"/>
              <w:left w:val="nil"/>
              <w:bottom w:val="single" w:sz="4" w:space="0" w:color="auto"/>
              <w:right w:val="single" w:sz="4" w:space="0" w:color="auto"/>
            </w:tcBorders>
            <w:hideMark/>
          </w:tcPr>
          <w:p w14:paraId="416F389C"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Bế Trung Anh - Vĩnh Long</w:t>
            </w:r>
          </w:p>
        </w:tc>
        <w:tc>
          <w:tcPr>
            <w:tcW w:w="4394" w:type="dxa"/>
            <w:tcBorders>
              <w:top w:val="nil"/>
              <w:left w:val="nil"/>
              <w:bottom w:val="single" w:sz="4" w:space="0" w:color="auto"/>
              <w:right w:val="single" w:sz="4" w:space="0" w:color="auto"/>
            </w:tcBorders>
            <w:hideMark/>
          </w:tcPr>
          <w:p w14:paraId="54E27DD0" w14:textId="77777777" w:rsidR="00713763" w:rsidRPr="00EE706C"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xuất chỉ nên yêu cầu tiền kiểm bắt buộc với các lĩnh vực có rủi ro cao, ảnh hưởng trực tiếp đến tính mạng con người.</w:t>
            </w:r>
          </w:p>
          <w:p w14:paraId="62DB8D57" w14:textId="07189395"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Đề xuất, kiến nghị: Chỉ yêu cầu tiền kiểm với lĩnh vực ảnh hưởng trực tiếp đến tính mạng, ví dụ như trong y tế hoặc trong các phương tiện tự hành tốc độ cao.</w:t>
            </w:r>
          </w:p>
        </w:tc>
        <w:tc>
          <w:tcPr>
            <w:tcW w:w="7087" w:type="dxa"/>
            <w:tcBorders>
              <w:top w:val="nil"/>
              <w:left w:val="nil"/>
              <w:bottom w:val="single" w:sz="4" w:space="0" w:color="auto"/>
              <w:right w:val="single" w:sz="4" w:space="0" w:color="auto"/>
            </w:tcBorders>
            <w:hideMark/>
          </w:tcPr>
          <w:p w14:paraId="1BCA2630"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Cơ quan chủ trì soạn thảo xin trả lời ý kiến như sau: Quan điểm của Đại biểu hoàn toàn phù hợp với định hướng quản lý rủi ro của Dự thảo Luật. Hệ thống AI được phân loại rủi ro cao dựa trên tiêu chí có thể gây thiệt hại đáng kể đến tính mạng, sức khỏe, quyền con người và an toàn xã hội (Điều 8 khoản 1, 4). Đặc biệt, Điều 12 quy định: 1. Chỉ Hệ thống AI rủi ro cao mới phải thực hiện Đánh giá sự phù hợp. 2. Trong nhóm rủi ro cao, chỉ những hệ thống có nguy cơ nguy hại lớn nhất (bao gồm các ứng dụng ảnh hưởng trực tiếp đến tính mạng như y tế, giao thông) mới bắt buộc phải Chứng nhận sự phù hợp (tiền kiểm). Danh mục AI bắt buộc chứng nhận sẽ do Thủ tướng Chính phủ ban hành (Điều 12 khoản 6). Thiết kế </w:t>
            </w:r>
            <w:r w:rsidRPr="00AA4A03">
              <w:rPr>
                <w:rFonts w:ascii="Times New Roman" w:eastAsia="Times New Roman" w:hAnsi="Times New Roman" w:cs="Times New Roman"/>
                <w:color w:val="000000"/>
                <w:kern w:val="0"/>
                <w:sz w:val="26"/>
                <w:szCs w:val="26"/>
                <w:lang w:val="vi-VN"/>
                <w14:ligatures w14:val="none"/>
              </w:rPr>
              <w:lastRenderedPageBreak/>
              <w:t>này bảo đảm nguyên tắc kiểm soát nghiêm ngặt nhất (tiền kiểm bắt buộc) chỉ áp dụng cho các lĩnh vực có rủi ro lớn nhất, như đề xuất.</w:t>
            </w:r>
          </w:p>
        </w:tc>
      </w:tr>
      <w:tr w:rsidR="00B30308" w:rsidRPr="00EE706C" w14:paraId="654C5E64" w14:textId="77777777" w:rsidTr="00AA4A03">
        <w:trPr>
          <w:trHeight w:val="2592"/>
        </w:trPr>
        <w:tc>
          <w:tcPr>
            <w:tcW w:w="708" w:type="dxa"/>
            <w:tcBorders>
              <w:top w:val="nil"/>
              <w:left w:val="single" w:sz="4" w:space="0" w:color="auto"/>
              <w:bottom w:val="single" w:sz="4" w:space="0" w:color="auto"/>
              <w:right w:val="single" w:sz="4" w:space="0" w:color="auto"/>
            </w:tcBorders>
            <w:hideMark/>
          </w:tcPr>
          <w:p w14:paraId="76B4C3BC"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lastRenderedPageBreak/>
              <w:t>124</w:t>
            </w:r>
          </w:p>
        </w:tc>
        <w:tc>
          <w:tcPr>
            <w:tcW w:w="2548" w:type="dxa"/>
            <w:tcBorders>
              <w:top w:val="nil"/>
              <w:left w:val="nil"/>
              <w:bottom w:val="single" w:sz="4" w:space="0" w:color="auto"/>
              <w:right w:val="single" w:sz="4" w:space="0" w:color="auto"/>
            </w:tcBorders>
            <w:hideMark/>
          </w:tcPr>
          <w:p w14:paraId="0FC5FC62"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Bế Trung Anh - Vĩnh Long</w:t>
            </w:r>
          </w:p>
        </w:tc>
        <w:tc>
          <w:tcPr>
            <w:tcW w:w="4394" w:type="dxa"/>
            <w:tcBorders>
              <w:top w:val="nil"/>
              <w:left w:val="nil"/>
              <w:bottom w:val="single" w:sz="4" w:space="0" w:color="auto"/>
              <w:right w:val="single" w:sz="4" w:space="0" w:color="auto"/>
            </w:tcBorders>
            <w:hideMark/>
          </w:tcPr>
          <w:p w14:paraId="39700375"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Kiến nghị bổ sung các công cụ kỹ thuật quản lý hiện đại mà các nước tiên tiến (Mỹ, Singapore, UAE, Anh, Canada) đang sử dụng.</w:t>
            </w:r>
            <w:r w:rsidRPr="00AA4A03">
              <w:rPr>
                <w:rFonts w:ascii="Times New Roman" w:eastAsia="Times New Roman" w:hAnsi="Times New Roman" w:cs="Times New Roman"/>
                <w:color w:val="000000"/>
                <w:kern w:val="0"/>
                <w:sz w:val="26"/>
                <w:szCs w:val="26"/>
                <w:lang w:val="vi-VN"/>
                <w14:ligatures w14:val="none"/>
              </w:rPr>
              <w:br/>
              <w:t>Đề xuất, kiến nghị: Bổ sung các công cụ kỹ thuật để kiểm tra lý lịch AI, dấu vết nhận diện nội dung AI tạo sinh, quản lý năng lực tính toán, và áp dụng giám sát liên tục và cảnh báo theo thời gian thực.</w:t>
            </w:r>
          </w:p>
        </w:tc>
        <w:tc>
          <w:tcPr>
            <w:tcW w:w="7087" w:type="dxa"/>
            <w:tcBorders>
              <w:top w:val="nil"/>
              <w:left w:val="nil"/>
              <w:bottom w:val="single" w:sz="4" w:space="0" w:color="auto"/>
              <w:right w:val="single" w:sz="4" w:space="0" w:color="auto"/>
            </w:tcBorders>
            <w:hideMark/>
          </w:tcPr>
          <w:p w14:paraId="194180C3"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Ban soạn thảo trân trọng tiếp thu đề nghị của Đại biểu về việc bổ sung các công cụ kỹ thuật hiện đại (kiểm tra lý lịch AI, watermark/metadata cho nội dung do AI tạo, quản lý năng lực tính toán, giám sát liên tục và cảnh báo thời gian thực). Dự thảo Luật đã đặt nền tảng pháp lý cho việc này: Điều 10 (minh bạch, đánh dấu và metadata), Điều 13 (nghĩa vụ quản lý rủi ro, giám sát vòng đời và kiểm tra đối với AI rủi ro cao), Điều 11 (xử lý sự cố, logging, audit trail) và Điều 33 (áp dụng tiêu chuẩn quốc gia/quốc tế). Tuy nhiên, các biện pháp kỹ thuật nêu trên phụ thuộc cao vào công nghệ, tiêu chuẩn kỹ thuật và năng lực nền tảng, nên không thích hợp đưa chi tiết vào Luật. Thay vào đó, Dự thảo Luật đã giao Chính phủ/Bộ KHCN quy định chi tiết trong Nghị định, Quy chuẩn kỹ thuật và hướng dẫn triển khai. Cách tiếp cận này vừa đáp ứng yêu cầu trang bị công cụ kỹ thuật hiện đại, vừa bảo đảm tính linh hoạt, khả thi và tương thích quốc tế khi triển khai.</w:t>
            </w:r>
          </w:p>
        </w:tc>
      </w:tr>
      <w:tr w:rsidR="00B30308" w:rsidRPr="00EE706C" w14:paraId="0CE6A763" w14:textId="77777777" w:rsidTr="00713763">
        <w:trPr>
          <w:trHeight w:val="1115"/>
        </w:trPr>
        <w:tc>
          <w:tcPr>
            <w:tcW w:w="708" w:type="dxa"/>
            <w:tcBorders>
              <w:top w:val="nil"/>
              <w:left w:val="single" w:sz="4" w:space="0" w:color="auto"/>
              <w:bottom w:val="single" w:sz="4" w:space="0" w:color="auto"/>
              <w:right w:val="single" w:sz="4" w:space="0" w:color="auto"/>
            </w:tcBorders>
            <w:hideMark/>
          </w:tcPr>
          <w:p w14:paraId="3DCE1C89" w14:textId="77777777" w:rsidR="00B30308" w:rsidRPr="00AA4A03" w:rsidRDefault="00B30308" w:rsidP="00140125">
            <w:pPr>
              <w:spacing w:after="0" w:line="240" w:lineRule="auto"/>
              <w:jc w:val="center"/>
              <w:rPr>
                <w:rFonts w:ascii="Times New Roman" w:eastAsia="Times New Roman" w:hAnsi="Times New Roman" w:cs="Times New Roman"/>
                <w:b/>
                <w:bCs/>
                <w:color w:val="000000"/>
                <w:kern w:val="0"/>
                <w:sz w:val="26"/>
                <w:szCs w:val="26"/>
                <w:lang w:val="vi-VN"/>
                <w14:ligatures w14:val="none"/>
              </w:rPr>
            </w:pPr>
            <w:r w:rsidRPr="00AA4A03">
              <w:rPr>
                <w:rFonts w:ascii="Times New Roman" w:eastAsia="Times New Roman" w:hAnsi="Times New Roman" w:cs="Times New Roman"/>
                <w:b/>
                <w:bCs/>
                <w:color w:val="000000"/>
                <w:kern w:val="0"/>
                <w:sz w:val="26"/>
                <w:szCs w:val="26"/>
                <w:lang w:val="vi-VN"/>
                <w14:ligatures w14:val="none"/>
              </w:rPr>
              <w:t>125</w:t>
            </w:r>
          </w:p>
        </w:tc>
        <w:tc>
          <w:tcPr>
            <w:tcW w:w="2548" w:type="dxa"/>
            <w:tcBorders>
              <w:top w:val="nil"/>
              <w:left w:val="nil"/>
              <w:bottom w:val="single" w:sz="4" w:space="0" w:color="auto"/>
              <w:right w:val="single" w:sz="4" w:space="0" w:color="auto"/>
            </w:tcBorders>
            <w:hideMark/>
          </w:tcPr>
          <w:p w14:paraId="2729976D"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Bế Trung Anh - Vĩnh Long</w:t>
            </w:r>
          </w:p>
        </w:tc>
        <w:tc>
          <w:tcPr>
            <w:tcW w:w="4394" w:type="dxa"/>
            <w:tcBorders>
              <w:top w:val="nil"/>
              <w:left w:val="nil"/>
              <w:bottom w:val="single" w:sz="4" w:space="0" w:color="auto"/>
              <w:right w:val="single" w:sz="4" w:space="0" w:color="auto"/>
            </w:tcBorders>
            <w:hideMark/>
          </w:tcPr>
          <w:p w14:paraId="01A2FA6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Nội dung góp ý chính: Đề nghị sửa đổi cơ chế thử nghiệm có kiểm soát (Sandbox) để giảm thủ tục hành chính.</w:t>
            </w:r>
            <w:r w:rsidRPr="00AA4A03">
              <w:rPr>
                <w:rFonts w:ascii="Times New Roman" w:eastAsia="Times New Roman" w:hAnsi="Times New Roman" w:cs="Times New Roman"/>
                <w:color w:val="000000"/>
                <w:kern w:val="0"/>
                <w:sz w:val="26"/>
                <w:szCs w:val="26"/>
                <w:lang w:val="vi-VN"/>
                <w14:ligatures w14:val="none"/>
              </w:rPr>
              <w:br/>
              <w:t>Đề xuất, kiến nghị: Chuyển cơ chế Sandbox từ cơ chế "xin, chờ, sau đó lại phê duyệt" sang cơ chế "đăng ký chạy ngay và giám sát bằng dữ liệu".</w:t>
            </w:r>
          </w:p>
        </w:tc>
        <w:tc>
          <w:tcPr>
            <w:tcW w:w="7087" w:type="dxa"/>
            <w:tcBorders>
              <w:top w:val="nil"/>
              <w:left w:val="nil"/>
              <w:bottom w:val="single" w:sz="4" w:space="0" w:color="auto"/>
              <w:right w:val="single" w:sz="4" w:space="0" w:color="auto"/>
            </w:tcBorders>
            <w:hideMark/>
          </w:tcPr>
          <w:p w14:paraId="646D1808" w14:textId="77777777" w:rsidR="00B30308" w:rsidRPr="00AA4A03" w:rsidRDefault="00B30308" w:rsidP="00AA4A03">
            <w:pPr>
              <w:spacing w:after="0" w:line="240" w:lineRule="auto"/>
              <w:jc w:val="both"/>
              <w:rPr>
                <w:rFonts w:ascii="Times New Roman" w:eastAsia="Times New Roman" w:hAnsi="Times New Roman" w:cs="Times New Roman"/>
                <w:color w:val="000000"/>
                <w:kern w:val="0"/>
                <w:sz w:val="26"/>
                <w:szCs w:val="26"/>
                <w:lang w:val="vi-VN"/>
                <w14:ligatures w14:val="none"/>
              </w:rPr>
            </w:pPr>
            <w:r w:rsidRPr="00AA4A03">
              <w:rPr>
                <w:rFonts w:ascii="Times New Roman" w:eastAsia="Times New Roman" w:hAnsi="Times New Roman" w:cs="Times New Roman"/>
                <w:color w:val="000000"/>
                <w:kern w:val="0"/>
                <w:sz w:val="26"/>
                <w:szCs w:val="26"/>
                <w:lang w:val="vi-VN"/>
                <w14:ligatures w14:val="none"/>
              </w:rPr>
              <w:t xml:space="preserve">Cơ quan chủ trì soạn thảo xin trả lời ý kiến như sau: Giải trình ý kiến của Đại biểu Quốc hội. Ban soạn thảo đồng ý với yêu cầu giảm thủ tục hành chính và đẩy nhanh quy trình, tuy nhiên, Cơ chế thử nghiệm có kiểm soát bản chất là cơ chế đặc thù cho phép miễn, giảm hoặc điều chỉnh tạm thời một số nghĩa vụ pháp lý. Việc miễn giảm này chỉ được thực hiện trong phạm vi, điều kiện, và thời hạn thử nghiệm được phê duyệt, do đó cần có quyết định chấp thuận từ cơ quan nhà nước để bảo đảm kiểm soát rủi ro, nhất là đối với AI rủi ro cao. Để giải quyết vấn đề thủ tục, khoản 5 Điều 20 đã quy </w:t>
            </w:r>
            <w:r w:rsidRPr="00AA4A03">
              <w:rPr>
                <w:rFonts w:ascii="Times New Roman" w:eastAsia="Times New Roman" w:hAnsi="Times New Roman" w:cs="Times New Roman"/>
                <w:color w:val="000000"/>
                <w:kern w:val="0"/>
                <w:sz w:val="26"/>
                <w:szCs w:val="26"/>
                <w:lang w:val="vi-VN"/>
                <w14:ligatures w14:val="none"/>
              </w:rPr>
              <w:lastRenderedPageBreak/>
              <w:t>định yêu cầu cơ quan quản lý nhà nước áp dụng quy trình thẩm định và phản hồi nhanh. Các thủ tục chi tiết nhằm đảm bảo tối đa sự thuận lợi cho doanh nghiệp sẽ được Chính phủ quy định chi tiết tại khoản 6 Điều 20.</w:t>
            </w:r>
          </w:p>
        </w:tc>
      </w:tr>
      <w:bookmarkEnd w:id="1"/>
    </w:tbl>
    <w:p w14:paraId="14576730" w14:textId="77777777" w:rsidR="00CA578A" w:rsidRPr="00EE706C" w:rsidRDefault="00CA578A" w:rsidP="00AA4A03">
      <w:pPr>
        <w:jc w:val="both"/>
        <w:rPr>
          <w:lang w:val="vi-VN"/>
        </w:rPr>
      </w:pPr>
    </w:p>
    <w:sectPr w:rsidR="00CA578A" w:rsidRPr="00EE706C" w:rsidSect="00C53CB5">
      <w:headerReference w:type="first" r:id="rId8"/>
      <w:pgSz w:w="16838" w:h="11906" w:orient="landscape" w:code="9"/>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D9653" w14:textId="77777777" w:rsidR="006E0BEC" w:rsidRDefault="006E0BEC" w:rsidP="00CA578A">
      <w:pPr>
        <w:spacing w:after="0" w:line="240" w:lineRule="auto"/>
      </w:pPr>
      <w:r>
        <w:separator/>
      </w:r>
    </w:p>
  </w:endnote>
  <w:endnote w:type="continuationSeparator" w:id="0">
    <w:p w14:paraId="2E083837" w14:textId="77777777" w:rsidR="006E0BEC" w:rsidRDefault="006E0BEC" w:rsidP="00CA5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panose1 w:val="020B06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panose1 w:val="020B06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6C183" w14:textId="77777777" w:rsidR="006E0BEC" w:rsidRDefault="006E0BEC" w:rsidP="00CA578A">
      <w:pPr>
        <w:spacing w:after="0" w:line="240" w:lineRule="auto"/>
      </w:pPr>
      <w:r>
        <w:separator/>
      </w:r>
    </w:p>
  </w:footnote>
  <w:footnote w:type="continuationSeparator" w:id="0">
    <w:p w14:paraId="4ED8F9AD" w14:textId="77777777" w:rsidR="006E0BEC" w:rsidRDefault="006E0BEC" w:rsidP="00CA57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222543"/>
      <w:docPartObj>
        <w:docPartGallery w:val="Page Numbers (Top of Page)"/>
        <w:docPartUnique/>
      </w:docPartObj>
    </w:sdtPr>
    <w:sdtEndPr>
      <w:rPr>
        <w:noProof/>
      </w:rPr>
    </w:sdtEndPr>
    <w:sdtContent>
      <w:p w14:paraId="37E78E91" w14:textId="6180F051" w:rsidR="006305E9" w:rsidRDefault="006305E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759C825" w14:textId="77777777" w:rsidR="006305E9" w:rsidRDefault="00630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27083" w14:textId="48AB6B9B" w:rsidR="00C53CB5" w:rsidRDefault="00C53CB5">
    <w:pPr>
      <w:pStyle w:val="Header"/>
      <w:jc w:val="center"/>
    </w:pPr>
  </w:p>
  <w:p w14:paraId="052460E7" w14:textId="77777777" w:rsidR="00C53CB5" w:rsidRDefault="00C5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0765017"/>
      <w:docPartObj>
        <w:docPartGallery w:val="Page Numbers (Top of Page)"/>
        <w:docPartUnique/>
      </w:docPartObj>
    </w:sdtPr>
    <w:sdtEndPr>
      <w:rPr>
        <w:rFonts w:ascii="Times New Roman" w:hAnsi="Times New Roman" w:cs="Times New Roman"/>
        <w:noProof/>
      </w:rPr>
    </w:sdtEndPr>
    <w:sdtContent>
      <w:p w14:paraId="4ACDDC0A" w14:textId="77777777" w:rsidR="00C53CB5" w:rsidRPr="00C53CB5" w:rsidRDefault="00C53CB5">
        <w:pPr>
          <w:pStyle w:val="Header"/>
          <w:jc w:val="center"/>
          <w:rPr>
            <w:rFonts w:ascii="Times New Roman" w:hAnsi="Times New Roman" w:cs="Times New Roman"/>
          </w:rPr>
        </w:pPr>
        <w:r w:rsidRPr="00C53CB5">
          <w:rPr>
            <w:rFonts w:ascii="Times New Roman" w:hAnsi="Times New Roman" w:cs="Times New Roman"/>
          </w:rPr>
          <w:fldChar w:fldCharType="begin"/>
        </w:r>
        <w:r w:rsidRPr="00C53CB5">
          <w:rPr>
            <w:rFonts w:ascii="Times New Roman" w:hAnsi="Times New Roman" w:cs="Times New Roman"/>
          </w:rPr>
          <w:instrText xml:space="preserve"> PAGE   \* MERGEFORMAT </w:instrText>
        </w:r>
        <w:r w:rsidRPr="00C53CB5">
          <w:rPr>
            <w:rFonts w:ascii="Times New Roman" w:hAnsi="Times New Roman" w:cs="Times New Roman"/>
          </w:rPr>
          <w:fldChar w:fldCharType="separate"/>
        </w:r>
        <w:r w:rsidRPr="00C53CB5">
          <w:rPr>
            <w:rFonts w:ascii="Times New Roman" w:hAnsi="Times New Roman" w:cs="Times New Roman"/>
            <w:noProof/>
          </w:rPr>
          <w:t>2</w:t>
        </w:r>
        <w:r w:rsidRPr="00C53CB5">
          <w:rPr>
            <w:rFonts w:ascii="Times New Roman" w:hAnsi="Times New Roman" w:cs="Times New Roman"/>
            <w:noProof/>
          </w:rPr>
          <w:fldChar w:fldCharType="end"/>
        </w:r>
      </w:p>
    </w:sdtContent>
  </w:sdt>
  <w:p w14:paraId="567F403A" w14:textId="77777777" w:rsidR="00C53CB5" w:rsidRDefault="00C53C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78A"/>
    <w:rsid w:val="00030B3E"/>
    <w:rsid w:val="000539E0"/>
    <w:rsid w:val="00054CCD"/>
    <w:rsid w:val="00140125"/>
    <w:rsid w:val="001574EB"/>
    <w:rsid w:val="001C7C9E"/>
    <w:rsid w:val="002B377E"/>
    <w:rsid w:val="002F231B"/>
    <w:rsid w:val="0034192F"/>
    <w:rsid w:val="003B5B83"/>
    <w:rsid w:val="005C0E61"/>
    <w:rsid w:val="006305E9"/>
    <w:rsid w:val="006E0BEC"/>
    <w:rsid w:val="00713763"/>
    <w:rsid w:val="00731DC4"/>
    <w:rsid w:val="00763826"/>
    <w:rsid w:val="007B7E2F"/>
    <w:rsid w:val="007D0CB1"/>
    <w:rsid w:val="00965AD6"/>
    <w:rsid w:val="00A163D4"/>
    <w:rsid w:val="00AA4A03"/>
    <w:rsid w:val="00AB43DC"/>
    <w:rsid w:val="00B06C74"/>
    <w:rsid w:val="00B30308"/>
    <w:rsid w:val="00B56CCF"/>
    <w:rsid w:val="00BF55BB"/>
    <w:rsid w:val="00C5025B"/>
    <w:rsid w:val="00C53CB5"/>
    <w:rsid w:val="00C65F4E"/>
    <w:rsid w:val="00CA578A"/>
    <w:rsid w:val="00CF6B44"/>
    <w:rsid w:val="00DB1EB5"/>
    <w:rsid w:val="00E102D8"/>
    <w:rsid w:val="00E96898"/>
    <w:rsid w:val="00EE7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64E02"/>
  <w15:chartTrackingRefBased/>
  <w15:docId w15:val="{781584E1-2510-461B-A054-479AE1851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57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57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57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57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57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57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57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57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57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57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57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57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57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57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57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57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57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578A"/>
    <w:rPr>
      <w:rFonts w:eastAsiaTheme="majorEastAsia" w:cstheme="majorBidi"/>
      <w:color w:val="272727" w:themeColor="text1" w:themeTint="D8"/>
    </w:rPr>
  </w:style>
  <w:style w:type="paragraph" w:styleId="Title">
    <w:name w:val="Title"/>
    <w:basedOn w:val="Normal"/>
    <w:next w:val="Normal"/>
    <w:link w:val="TitleChar"/>
    <w:uiPriority w:val="10"/>
    <w:qFormat/>
    <w:rsid w:val="00CA57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57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57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57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578A"/>
    <w:pPr>
      <w:spacing w:before="160"/>
      <w:jc w:val="center"/>
    </w:pPr>
    <w:rPr>
      <w:i/>
      <w:iCs/>
      <w:color w:val="404040" w:themeColor="text1" w:themeTint="BF"/>
    </w:rPr>
  </w:style>
  <w:style w:type="character" w:customStyle="1" w:styleId="QuoteChar">
    <w:name w:val="Quote Char"/>
    <w:basedOn w:val="DefaultParagraphFont"/>
    <w:link w:val="Quote"/>
    <w:uiPriority w:val="29"/>
    <w:rsid w:val="00CA578A"/>
    <w:rPr>
      <w:i/>
      <w:iCs/>
      <w:color w:val="404040" w:themeColor="text1" w:themeTint="BF"/>
    </w:rPr>
  </w:style>
  <w:style w:type="paragraph" w:styleId="ListParagraph">
    <w:name w:val="List Paragraph"/>
    <w:basedOn w:val="Normal"/>
    <w:uiPriority w:val="34"/>
    <w:qFormat/>
    <w:rsid w:val="00CA578A"/>
    <w:pPr>
      <w:ind w:left="720"/>
      <w:contextualSpacing/>
    </w:pPr>
  </w:style>
  <w:style w:type="character" w:styleId="IntenseEmphasis">
    <w:name w:val="Intense Emphasis"/>
    <w:basedOn w:val="DefaultParagraphFont"/>
    <w:uiPriority w:val="21"/>
    <w:qFormat/>
    <w:rsid w:val="00CA578A"/>
    <w:rPr>
      <w:i/>
      <w:iCs/>
      <w:color w:val="0F4761" w:themeColor="accent1" w:themeShade="BF"/>
    </w:rPr>
  </w:style>
  <w:style w:type="paragraph" w:styleId="IntenseQuote">
    <w:name w:val="Intense Quote"/>
    <w:basedOn w:val="Normal"/>
    <w:next w:val="Normal"/>
    <w:link w:val="IntenseQuoteChar"/>
    <w:uiPriority w:val="30"/>
    <w:qFormat/>
    <w:rsid w:val="00CA57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578A"/>
    <w:rPr>
      <w:i/>
      <w:iCs/>
      <w:color w:val="0F4761" w:themeColor="accent1" w:themeShade="BF"/>
    </w:rPr>
  </w:style>
  <w:style w:type="character" w:styleId="IntenseReference">
    <w:name w:val="Intense Reference"/>
    <w:basedOn w:val="DefaultParagraphFont"/>
    <w:uiPriority w:val="32"/>
    <w:qFormat/>
    <w:rsid w:val="00CA578A"/>
    <w:rPr>
      <w:b/>
      <w:bCs/>
      <w:smallCaps/>
      <w:color w:val="0F4761" w:themeColor="accent1" w:themeShade="BF"/>
      <w:spacing w:val="5"/>
    </w:rPr>
  </w:style>
  <w:style w:type="paragraph" w:styleId="Header">
    <w:name w:val="header"/>
    <w:basedOn w:val="Normal"/>
    <w:link w:val="HeaderChar"/>
    <w:uiPriority w:val="99"/>
    <w:unhideWhenUsed/>
    <w:rsid w:val="00CA57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578A"/>
  </w:style>
  <w:style w:type="paragraph" w:styleId="Footer">
    <w:name w:val="footer"/>
    <w:basedOn w:val="Normal"/>
    <w:link w:val="FooterChar"/>
    <w:uiPriority w:val="99"/>
    <w:unhideWhenUsed/>
    <w:rsid w:val="00CA57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578A"/>
  </w:style>
  <w:style w:type="character" w:styleId="Hyperlink">
    <w:name w:val="Hyperlink"/>
    <w:basedOn w:val="DefaultParagraphFont"/>
    <w:uiPriority w:val="99"/>
    <w:semiHidden/>
    <w:unhideWhenUsed/>
    <w:rsid w:val="00CA578A"/>
    <w:rPr>
      <w:color w:val="467886"/>
      <w:u w:val="single"/>
    </w:rPr>
  </w:style>
  <w:style w:type="character" w:styleId="FollowedHyperlink">
    <w:name w:val="FollowedHyperlink"/>
    <w:basedOn w:val="DefaultParagraphFont"/>
    <w:uiPriority w:val="99"/>
    <w:semiHidden/>
    <w:unhideWhenUsed/>
    <w:rsid w:val="00CA578A"/>
    <w:rPr>
      <w:color w:val="96607D"/>
      <w:u w:val="single"/>
    </w:rPr>
  </w:style>
  <w:style w:type="paragraph" w:customStyle="1" w:styleId="msonormal0">
    <w:name w:val="msonormal"/>
    <w:basedOn w:val="Normal"/>
    <w:rsid w:val="00CA578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63">
    <w:name w:val="xl63"/>
    <w:basedOn w:val="Normal"/>
    <w:rsid w:val="00CA578A"/>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64">
    <w:name w:val="xl64"/>
    <w:basedOn w:val="Normal"/>
    <w:rsid w:val="00CA578A"/>
    <w:pP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65">
    <w:name w:val="xl65"/>
    <w:basedOn w:val="Normal"/>
    <w:rsid w:val="00CA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66">
    <w:name w:val="xl66"/>
    <w:basedOn w:val="Normal"/>
    <w:rsid w:val="00CA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7">
    <w:name w:val="xl67"/>
    <w:basedOn w:val="Normal"/>
    <w:rsid w:val="00CA578A"/>
    <w:pPr>
      <w:spacing w:before="100" w:beforeAutospacing="1" w:after="100" w:afterAutospacing="1" w:line="240" w:lineRule="auto"/>
      <w:textAlignment w:val="top"/>
    </w:pPr>
    <w:rPr>
      <w:rFonts w:ascii="Times New Roman" w:eastAsia="Times New Roman" w:hAnsi="Times New Roman" w:cs="Times New Roman"/>
      <w:kern w:val="0"/>
      <w14:ligatures w14:val="none"/>
    </w:rPr>
  </w:style>
  <w:style w:type="paragraph" w:customStyle="1" w:styleId="xl68">
    <w:name w:val="xl68"/>
    <w:basedOn w:val="Normal"/>
    <w:rsid w:val="00CA578A"/>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69">
    <w:name w:val="xl69"/>
    <w:basedOn w:val="Normal"/>
    <w:rsid w:val="00CA57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0">
    <w:name w:val="xl70"/>
    <w:basedOn w:val="Normal"/>
    <w:rsid w:val="00CA57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71">
    <w:name w:val="xl71"/>
    <w:basedOn w:val="Normal"/>
    <w:rsid w:val="00CA57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2">
    <w:name w:val="xl72"/>
    <w:basedOn w:val="Normal"/>
    <w:rsid w:val="00CA57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73">
    <w:name w:val="xl73"/>
    <w:basedOn w:val="Normal"/>
    <w:rsid w:val="00CA57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4">
    <w:name w:val="xl74"/>
    <w:basedOn w:val="Normal"/>
    <w:rsid w:val="00CA578A"/>
    <w:pP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5">
    <w:name w:val="xl75"/>
    <w:basedOn w:val="Normal"/>
    <w:rsid w:val="00CA57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 w:type="paragraph" w:customStyle="1" w:styleId="xl76">
    <w:name w:val="xl76"/>
    <w:basedOn w:val="Normal"/>
    <w:rsid w:val="00CA57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95</Pages>
  <Words>28945</Words>
  <Characters>164989</Characters>
  <Application>Microsoft Office Word</Application>
  <DocSecurity>0</DocSecurity>
  <Lines>1374</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 Dang Chien</dc:creator>
  <cp:keywords/>
  <dc:description/>
  <cp:lastModifiedBy>Microsoft Office User</cp:lastModifiedBy>
  <cp:revision>11</cp:revision>
  <cp:lastPrinted>2025-12-01T17:37:00Z</cp:lastPrinted>
  <dcterms:created xsi:type="dcterms:W3CDTF">2025-12-01T17:22:00Z</dcterms:created>
  <dcterms:modified xsi:type="dcterms:W3CDTF">2025-12-05T10:46:00Z</dcterms:modified>
</cp:coreProperties>
</file>